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pPr>
      <w:r>
        <w:t xml:space="preserve">REGULAR TOWN BOARD </w:t>
      </w:r>
      <w:r>
        <w:t xml:space="preserve">MEETING of the CORNWALL TOWN BOARD was held on the </w:t>
      </w:r>
      <w:r>
        <w:t>24</w:t>
      </w:r>
      <w:r>
        <w:rPr>
          <w:vertAlign w:val="superscript"/>
        </w:rPr>
        <w:t>th</w:t>
      </w:r>
      <w:r>
        <w:t xml:space="preserve"> Day of</w:t>
      </w:r>
      <w:r>
        <w:t xml:space="preserve"> February</w:t>
      </w:r>
      <w:r>
        <w:t xml:space="preserve"> 2026 in the First Floor Court Room, 183 Main Street, Cornwall, NY</w:t>
      </w:r>
    </w:p>
    <w:p>
      <w:pPr>
        <w:spacing w:after="0" w:line="240" w:lineRule="auto"/>
      </w:pPr>
    </w:p>
    <w:p>
      <w:pPr>
        <w:spacing w:after="0" w:line="240" w:lineRule="auto"/>
      </w:pPr>
      <w:r>
        <w:t>Present:  Supervisor</w:t>
      </w:r>
      <w:r>
        <w:tab/>
      </w:r>
      <w:r>
        <w:tab/>
      </w:r>
      <w:r>
        <w:tab/>
      </w:r>
      <w:r>
        <w:tab/>
        <w:t>Joshua Wojehowski</w:t>
      </w:r>
    </w:p>
    <w:p>
      <w:pPr>
        <w:spacing w:after="0" w:line="240" w:lineRule="auto"/>
      </w:pPr>
      <w:r>
        <w:tab/>
        <w:t xml:space="preserve">   Deputy Supervisor</w:t>
      </w:r>
      <w:r>
        <w:tab/>
      </w:r>
      <w:r>
        <w:tab/>
      </w:r>
      <w:r>
        <w:tab/>
        <w:t>Timothy McCarty</w:t>
      </w:r>
    </w:p>
    <w:p>
      <w:pPr>
        <w:spacing w:after="0" w:line="240" w:lineRule="auto"/>
      </w:pPr>
      <w:r>
        <w:tab/>
        <w:t xml:space="preserve">   Councilpersons</w:t>
      </w:r>
      <w:r>
        <w:tab/>
      </w:r>
      <w:r>
        <w:tab/>
      </w:r>
      <w:r>
        <w:tab/>
        <w:t>Rokhsha Michael-Razi</w:t>
      </w:r>
    </w:p>
    <w:p>
      <w:pPr>
        <w:spacing w:after="0" w:line="240" w:lineRule="auto"/>
      </w:pPr>
      <w:r>
        <w:tab/>
      </w:r>
      <w:r>
        <w:tab/>
      </w:r>
      <w:r>
        <w:tab/>
      </w:r>
      <w:r>
        <w:tab/>
      </w:r>
      <w:r>
        <w:tab/>
      </w:r>
      <w:r>
        <w:tab/>
        <w:t>Mary Heed</w:t>
      </w:r>
    </w:p>
    <w:p>
      <w:pPr>
        <w:spacing w:after="0" w:line="240" w:lineRule="auto"/>
      </w:pPr>
      <w:r>
        <w:tab/>
      </w:r>
      <w:r>
        <w:tab/>
      </w:r>
      <w:r>
        <w:tab/>
      </w:r>
      <w:r>
        <w:tab/>
      </w:r>
      <w:r>
        <w:tab/>
      </w:r>
      <w:r>
        <w:tab/>
        <w:t>Irwin Gold</w:t>
      </w:r>
    </w:p>
    <w:p>
      <w:pPr>
        <w:spacing w:after="0" w:line="240" w:lineRule="auto"/>
      </w:pPr>
      <w:r>
        <w:t>Also Present:  Attorney William Frank</w:t>
      </w:r>
    </w:p>
    <w:p>
      <w:pPr>
        <w:pStyle w:val="NoSpacing"/>
        <w:rPr>
          <w:b/>
          <w:u w:val="single"/>
        </w:rPr>
      </w:pPr>
    </w:p>
    <w:p>
      <w:pPr>
        <w:pStyle w:val="NoSpacing"/>
        <w:rPr>
          <w:b/>
          <w:u w:val="single"/>
        </w:rPr>
      </w:pPr>
      <w:r>
        <w:rPr>
          <w:b/>
          <w:u w:val="single"/>
        </w:rPr>
        <w:t>Pledge of Allegiance</w:t>
      </w:r>
    </w:p>
    <w:p>
      <w:pPr>
        <w:spacing w:after="0" w:line="240" w:lineRule="auto"/>
      </w:pPr>
    </w:p>
    <w:p>
      <w:pPr>
        <w:pStyle w:val="NoSpacing"/>
      </w:pPr>
      <w:r>
        <w:rPr>
          <w:b/>
          <w:u w:val="single"/>
        </w:rPr>
        <w:t>Public comment-3 Minute Limit</w:t>
      </w:r>
      <w:r>
        <w:rPr>
          <w:b/>
          <w:u w:val="single"/>
        </w:rPr>
        <w:t xml:space="preserve"> </w:t>
      </w:r>
    </w:p>
    <w:p>
      <w:pPr>
        <w:pStyle w:val="NoSpacing"/>
      </w:pPr>
      <w:r>
        <w:t xml:space="preserve">Many residents came </w:t>
      </w:r>
      <w:r>
        <w:t xml:space="preserve">out </w:t>
      </w:r>
      <w:r>
        <w:t xml:space="preserve">to speak regarding the installation of the </w:t>
      </w:r>
      <w:r>
        <w:t xml:space="preserve">proposed </w:t>
      </w:r>
      <w:r>
        <w:t xml:space="preserve">art </w:t>
      </w:r>
      <w:r>
        <w:t xml:space="preserve">project </w:t>
      </w:r>
      <w:r>
        <w:t xml:space="preserve">The Storm King Decision </w:t>
      </w:r>
      <w:r>
        <w:t xml:space="preserve">at Sands-Ring Homestead. Nancy Bryan, Virginia Scott, Phil Cameron </w:t>
      </w:r>
      <w:r>
        <w:t xml:space="preserve">and </w:t>
      </w:r>
      <w:r>
        <w:t>Richard Randazzo all suggest</w:t>
      </w:r>
      <w:r>
        <w:t>ed</w:t>
      </w:r>
      <w:r>
        <w:t xml:space="preserve"> finding another location for the art. </w:t>
      </w:r>
      <w:r>
        <w:t>Several residents were in favor of placing the art at the Sands-Ring</w:t>
      </w:r>
      <w:r>
        <w:t xml:space="preserve"> Homestead such as James Jackson, Rick Goia, Sheldon Stowe, Eileen </w:t>
      </w:r>
      <w:r>
        <w:t>Hartman,</w:t>
      </w:r>
      <w:r>
        <w:t xml:space="preserve"> Burt Ardino</w:t>
      </w:r>
      <w:r>
        <w:t xml:space="preserve"> and</w:t>
      </w:r>
      <w:r>
        <w:t xml:space="preserve"> </w:t>
      </w:r>
      <w:r>
        <w:t>Lotus Do</w:t>
      </w:r>
      <w:r>
        <w:t xml:space="preserve">. </w:t>
      </w:r>
      <w:r>
        <w:t xml:space="preserve"> </w:t>
      </w:r>
      <w:r>
        <w:t xml:space="preserve">Nancy Bryan questioned why the resolution for general liability, property, pollution </w:t>
      </w:r>
      <w:r>
        <w:t xml:space="preserve">&amp; cyber insurance renewal was pulled from the meeting.  Elsa Cameron spoke about the history of the Sands family and the Sands-Ring Homestead. </w:t>
      </w:r>
      <w:r>
        <w:t xml:space="preserve"> Joanna Doyle stated that</w:t>
      </w:r>
      <w:r>
        <w:t xml:space="preserve"> the </w:t>
      </w:r>
      <w:r>
        <w:t>H</w:t>
      </w:r>
      <w:r>
        <w:t>omestead is open and active.</w:t>
      </w:r>
      <w:r>
        <w:t xml:space="preserve">  Ms. Doyle also stated</w:t>
      </w:r>
      <w:r>
        <w:t xml:space="preserve"> that the</w:t>
      </w:r>
      <w:r>
        <w:t xml:space="preserve"> 4</w:t>
      </w:r>
      <w:r>
        <w:rPr>
          <w:vertAlign w:val="superscript"/>
        </w:rPr>
        <w:t>th</w:t>
      </w:r>
      <w:r>
        <w:t xml:space="preserve"> grade program at Sands-Ring will be returning</w:t>
      </w:r>
      <w:r>
        <w:t xml:space="preserve"> as soon as the home is repaired and safe. </w:t>
      </w:r>
      <w:r>
        <w:t xml:space="preserve"> </w:t>
      </w:r>
      <w:r>
        <w:t>Sally Faith Dorfman Sirota hopes that the 250</w:t>
      </w:r>
      <w:r>
        <w:rPr>
          <w:vertAlign w:val="superscript"/>
        </w:rPr>
        <w:t>th</w:t>
      </w:r>
      <w:r>
        <w:t xml:space="preserve"> celebration at Sands-Ring on 4/19 is approved.  Greg Robie spoke in regards to the Assessor and retaining an appraiser </w:t>
      </w:r>
      <w:r>
        <w:t xml:space="preserve">for </w:t>
      </w:r>
      <w:r>
        <w:t xml:space="preserve">18 Ridge Road and 25 Boulevard.   </w:t>
      </w:r>
      <w:r>
        <w:t xml:space="preserve">  </w:t>
      </w:r>
    </w:p>
    <w:p>
      <w:pPr>
        <w:pStyle w:val="NoSpacing"/>
        <w:rPr>
          <w:b/>
          <w:u w:val="single"/>
        </w:rPr>
      </w:pPr>
    </w:p>
    <w:p>
      <w:pPr>
        <w:pStyle w:val="NoSpacing"/>
        <w:rPr>
          <w:b/>
          <w:u w:val="single"/>
        </w:rPr>
      </w:pPr>
      <w:r>
        <w:rPr>
          <w:b/>
          <w:u w:val="single"/>
        </w:rPr>
        <w:t>Approval of Minutes: January 13, 2026 Reorganizational Meeting, January 13, 2026 Work Session &amp; Special Meeting, January 20, 2026 Regular Meeting</w:t>
      </w:r>
    </w:p>
    <w:p>
      <w:pPr>
        <w:pStyle w:val="NoSpacing"/>
      </w:pPr>
      <w:r>
        <w:t>A motion to approve was made by Councilman McCarty seconded by Councilwoman Michael-Razi.</w:t>
      </w:r>
    </w:p>
    <w:p>
      <w:pPr>
        <w:pStyle w:val="NoSpacing"/>
        <w:rPr>
          <w:rFonts w:cstheme="minorHAnsi"/>
          <w:b/>
        </w:rPr>
      </w:pPr>
      <w:bookmarkStart w:id="0" w:name="_Hlk223345888"/>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0"/>
    <w:p>
      <w:pPr>
        <w:pStyle w:val="NoSpacing"/>
      </w:pPr>
    </w:p>
    <w:p>
      <w:pPr>
        <w:pStyle w:val="NoSpacing"/>
        <w:rPr>
          <w:b/>
          <w:u w:val="single"/>
        </w:rPr>
      </w:pPr>
      <w:r>
        <w:rPr>
          <w:b/>
          <w:u w:val="single"/>
        </w:rPr>
        <w:t>Agenda</w:t>
      </w:r>
      <w:r>
        <w:rPr>
          <w:b/>
          <w:u w:val="single"/>
        </w:rPr>
        <w:t xml:space="preserve"> Item #1-</w:t>
      </w:r>
      <w:r>
        <w:rPr>
          <w:b/>
          <w:u w:val="single"/>
        </w:rPr>
        <w:t xml:space="preserve"> Art Installation– Vivien Collens &amp; Jeannette Redden</w:t>
      </w:r>
    </w:p>
    <w:p>
      <w:pPr>
        <w:pStyle w:val="NoSpacing"/>
        <w:rPr>
          <w:rFonts w:cstheme="minorHAnsi"/>
          <w:color w:val="474747"/>
          <w:shd w:val="clear" w:color="auto" w:fill="FFFFFF"/>
        </w:rPr>
      </w:pPr>
      <w:r>
        <w:t>Letters of support were received from Mar</w:t>
      </w:r>
      <w:r>
        <w:t>a</w:t>
      </w:r>
      <w:r>
        <w:t xml:space="preserve"> Davi Gaines and Mary Clark.  </w:t>
      </w:r>
      <w:r>
        <w:t xml:space="preserve">Supervisor Wojehowski stated that </w:t>
      </w:r>
      <w:r>
        <w:t xml:space="preserve">it was good to hear all of the </w:t>
      </w:r>
      <w:r>
        <w:t>differen</w:t>
      </w:r>
      <w:r>
        <w:t xml:space="preserve">t opinions from the community </w:t>
      </w:r>
      <w:r>
        <w:t xml:space="preserve">on where the art work should be placed. </w:t>
      </w:r>
      <w:r>
        <w:t xml:space="preserve"> He believes that the art should be appropriately aligned with the 250</w:t>
      </w:r>
      <w:r>
        <w:rPr>
          <w:vertAlign w:val="superscript"/>
        </w:rPr>
        <w:t>th</w:t>
      </w:r>
      <w:r>
        <w:t xml:space="preserve"> Celebration.</w:t>
      </w:r>
      <w:r>
        <w:t xml:space="preserve"> Supervisor Wojehowski wants to move this project forward but subject to certain conditions.  </w:t>
      </w:r>
      <w:r>
        <w:t xml:space="preserve">Councilman Gold stated that this is not a modern sculpture rather an earth work and supports it.  Councilwoman Michael-Razi </w:t>
      </w:r>
      <w:r>
        <w:t xml:space="preserve">fully </w:t>
      </w:r>
      <w:r>
        <w:t>supports</w:t>
      </w:r>
      <w:r>
        <w:t xml:space="preserve"> the art</w:t>
      </w:r>
      <w:r>
        <w:t xml:space="preserve"> and believes it will draw positive attention to the Sands-Ring Homestead.  </w:t>
      </w:r>
      <w:r>
        <w:t>Councilman McCarty has reservations about the location</w:t>
      </w:r>
      <w:r>
        <w:t xml:space="preserve">, Environmental Assessment </w:t>
      </w:r>
      <w:r>
        <w:t xml:space="preserve">(EAF) and </w:t>
      </w:r>
      <w:r>
        <w:rPr>
          <w:rFonts w:cstheme="minorHAnsi"/>
          <w:color w:val="474747"/>
          <w:shd w:val="clear" w:color="auto" w:fill="FFFFFF"/>
        </w:rPr>
        <w:t>the New York State Historic Preservation Office (SHPO)</w:t>
      </w:r>
      <w:r>
        <w:rPr>
          <w:rFonts w:cstheme="minorHAnsi"/>
          <w:color w:val="474747"/>
          <w:shd w:val="clear" w:color="auto" w:fill="FFFFFF"/>
        </w:rPr>
        <w:t xml:space="preserve">.  Councilman McCarty stated that the Village will be having a meeting to discuss placing the art at Donahue Park. </w:t>
      </w:r>
      <w:r>
        <w:rPr>
          <w:rFonts w:cstheme="minorHAnsi"/>
          <w:color w:val="474747"/>
          <w:shd w:val="clear" w:color="auto" w:fill="FFFFFF"/>
        </w:rPr>
        <w:t>Lastly, Councilman McCarty wants to</w:t>
      </w:r>
      <w:r>
        <w:rPr>
          <w:rFonts w:cstheme="minorHAnsi"/>
          <w:color w:val="474747"/>
          <w:shd w:val="clear" w:color="auto" w:fill="FFFFFF"/>
        </w:rPr>
        <w:t xml:space="preserve"> </w:t>
      </w:r>
      <w:r>
        <w:rPr>
          <w:rFonts w:cstheme="minorHAnsi"/>
          <w:color w:val="474747"/>
          <w:shd w:val="clear" w:color="auto" w:fill="FFFFFF"/>
        </w:rPr>
        <w:t>make sure there is no burden to the tax payers.</w:t>
      </w:r>
      <w:r>
        <w:rPr>
          <w:rFonts w:cstheme="minorHAnsi"/>
          <w:color w:val="474747"/>
          <w:shd w:val="clear" w:color="auto" w:fill="FFFFFF"/>
        </w:rPr>
        <w:t xml:space="preserve">  </w:t>
      </w:r>
      <w:r>
        <w:rPr>
          <w:rFonts w:cstheme="minorHAnsi"/>
          <w:color w:val="474747"/>
          <w:shd w:val="clear" w:color="auto" w:fill="FFFFFF"/>
        </w:rPr>
        <w:t xml:space="preserve">Councilwoman Heed fully supports </w:t>
      </w:r>
      <w:r>
        <w:rPr>
          <w:rFonts w:cstheme="minorHAnsi"/>
          <w:color w:val="474747"/>
          <w:shd w:val="clear" w:color="auto" w:fill="FFFFFF"/>
        </w:rPr>
        <w:t xml:space="preserve">the art.  </w:t>
      </w:r>
      <w:r>
        <w:rPr>
          <w:rFonts w:cstheme="minorHAnsi"/>
          <w:color w:val="474747"/>
          <w:shd w:val="clear" w:color="auto" w:fill="FFFFFF"/>
        </w:rPr>
        <w:t xml:space="preserve">Mr. Frank stated that due to this being temporary art, there is no need pursue further </w:t>
      </w:r>
      <w:r>
        <w:rPr>
          <w:rFonts w:cstheme="minorHAnsi"/>
          <w:color w:val="474747"/>
          <w:shd w:val="clear" w:color="auto" w:fill="FFFFFF"/>
        </w:rPr>
        <w:lastRenderedPageBreak/>
        <w:t xml:space="preserve">environmental review per NYS regulations.  Mr. Frank also stated that SHPO does need to be contacted since the property is historical.  </w:t>
      </w:r>
      <w:r>
        <w:rPr>
          <w:rFonts w:cstheme="minorHAnsi"/>
          <w:color w:val="474747"/>
          <w:shd w:val="clear" w:color="auto" w:fill="FFFFFF"/>
        </w:rPr>
        <w:t xml:space="preserve">Supervisor Wojehowski would like to </w:t>
      </w:r>
      <w:r>
        <w:rPr>
          <w:rFonts w:cstheme="minorHAnsi"/>
          <w:color w:val="474747"/>
          <w:shd w:val="clear" w:color="auto" w:fill="FFFFFF"/>
        </w:rPr>
        <w:t xml:space="preserve">get this project approved pending certain conditions such as </w:t>
      </w:r>
      <w:r>
        <w:rPr>
          <w:rFonts w:cstheme="minorHAnsi"/>
          <w:color w:val="474747"/>
          <w:shd w:val="clear" w:color="auto" w:fill="FFFFFF"/>
        </w:rPr>
        <w:t>SHPO, insurance</w:t>
      </w:r>
      <w:r>
        <w:rPr>
          <w:rFonts w:cstheme="minorHAnsi"/>
          <w:color w:val="474747"/>
          <w:shd w:val="clear" w:color="auto" w:fill="FFFFFF"/>
        </w:rPr>
        <w:t>, an agreement, maintenance schedule and no town equipment to be used</w:t>
      </w:r>
      <w:r>
        <w:rPr>
          <w:rFonts w:cstheme="minorHAnsi"/>
          <w:color w:val="474747"/>
          <w:shd w:val="clear" w:color="auto" w:fill="FFFFFF"/>
        </w:rPr>
        <w:t>.</w:t>
      </w:r>
    </w:p>
    <w:p>
      <w:pPr>
        <w:pStyle w:val="NoSpacing"/>
        <w:rPr>
          <w:rFonts w:cstheme="minorHAnsi"/>
          <w:color w:val="474747"/>
          <w:shd w:val="clear" w:color="auto" w:fill="FFFFFF"/>
        </w:rPr>
      </w:pPr>
      <w:r>
        <w:rPr>
          <w:rFonts w:cstheme="minorHAnsi"/>
          <w:color w:val="474747"/>
          <w:shd w:val="clear" w:color="auto" w:fill="FFFFFF"/>
        </w:rPr>
        <w:t xml:space="preserve">A </w:t>
      </w:r>
      <w:r>
        <w:rPr>
          <w:rFonts w:cstheme="minorHAnsi"/>
          <w:color w:val="474747"/>
          <w:shd w:val="clear" w:color="auto" w:fill="FFFFFF"/>
        </w:rPr>
        <w:t>motion to approve the art project on the Sands-Ring Homestead subject to condition</w:t>
      </w:r>
      <w:r>
        <w:rPr>
          <w:rFonts w:cstheme="minorHAnsi"/>
          <w:color w:val="474747"/>
          <w:shd w:val="clear" w:color="auto" w:fill="FFFFFF"/>
        </w:rPr>
        <w:t>s</w:t>
      </w:r>
      <w:r>
        <w:rPr>
          <w:rFonts w:cstheme="minorHAnsi"/>
          <w:color w:val="474747"/>
          <w:shd w:val="clear" w:color="auto" w:fill="FFFFFF"/>
        </w:rPr>
        <w:t xml:space="preserve"> and stipulations such as SHPO, insurance, an agreement subject to </w:t>
      </w:r>
      <w:r>
        <w:rPr>
          <w:rFonts w:cstheme="minorHAnsi"/>
          <w:color w:val="474747"/>
          <w:shd w:val="clear" w:color="auto" w:fill="FFFFFF"/>
        </w:rPr>
        <w:t xml:space="preserve">final </w:t>
      </w:r>
      <w:r>
        <w:rPr>
          <w:rFonts w:cstheme="minorHAnsi"/>
          <w:color w:val="474747"/>
          <w:shd w:val="clear" w:color="auto" w:fill="FFFFFF"/>
        </w:rPr>
        <w:t>review by the attorney</w:t>
      </w:r>
      <w:r>
        <w:rPr>
          <w:rFonts w:cstheme="minorHAnsi"/>
          <w:color w:val="474747"/>
          <w:shd w:val="clear" w:color="auto" w:fill="FFFFFF"/>
        </w:rPr>
        <w:t xml:space="preserve"> upon the advice</w:t>
      </w:r>
      <w:r>
        <w:rPr>
          <w:rFonts w:cstheme="minorHAnsi"/>
          <w:color w:val="474747"/>
          <w:shd w:val="clear" w:color="auto" w:fill="FFFFFF"/>
        </w:rPr>
        <w:t xml:space="preserve"> </w:t>
      </w:r>
      <w:r>
        <w:rPr>
          <w:rFonts w:cstheme="minorHAnsi"/>
          <w:color w:val="474747"/>
          <w:shd w:val="clear" w:color="auto" w:fill="FFFFFF"/>
        </w:rPr>
        <w:t>of</w:t>
      </w:r>
      <w:r>
        <w:rPr>
          <w:rFonts w:cstheme="minorHAnsi"/>
          <w:color w:val="474747"/>
          <w:shd w:val="clear" w:color="auto" w:fill="FFFFFF"/>
        </w:rPr>
        <w:t xml:space="preserve"> the Board</w:t>
      </w:r>
      <w:r>
        <w:rPr>
          <w:rFonts w:cstheme="minorHAnsi"/>
          <w:color w:val="474747"/>
          <w:shd w:val="clear" w:color="auto" w:fill="FFFFFF"/>
        </w:rPr>
        <w:t>.  Also, within this motion to preliminarily classify this measure as a Type 2 action under SEQRA regulations requiring no further environmental review</w:t>
      </w:r>
      <w:r>
        <w:rPr>
          <w:rFonts w:cstheme="minorHAnsi"/>
          <w:color w:val="474747"/>
          <w:shd w:val="clear" w:color="auto" w:fill="FFFFFF"/>
        </w:rPr>
        <w:t xml:space="preserve"> was made by Councilwoman Michael-Razi seconded by </w:t>
      </w:r>
      <w:r>
        <w:rPr>
          <w:rFonts w:cstheme="minorHAnsi"/>
          <w:color w:val="474747"/>
          <w:shd w:val="clear" w:color="auto" w:fill="FFFFFF"/>
        </w:rPr>
        <w:t>Councilwoman Heed.</w:t>
      </w:r>
    </w:p>
    <w:p>
      <w:pPr>
        <w:pStyle w:val="NoSpacing"/>
        <w:rPr>
          <w:rFonts w:cstheme="minorHAnsi"/>
          <w:b/>
        </w:rPr>
      </w:pPr>
      <w:r>
        <w:rPr>
          <w:rFonts w:cstheme="minorHAnsi"/>
          <w:color w:val="474747"/>
          <w:shd w:val="clear" w:color="auto" w:fill="FFFFFF"/>
        </w:rPr>
        <w:t xml:space="preserve"> </w:t>
      </w: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rPr>
          <w:rFonts w:cstheme="minorHAnsi"/>
          <w:u w:val="single"/>
        </w:rPr>
      </w:pPr>
      <w:r>
        <w:rPr>
          <w:rFonts w:cstheme="minorHAnsi"/>
          <w:color w:val="474747"/>
          <w:shd w:val="clear" w:color="auto" w:fill="FFFFFF"/>
        </w:rPr>
        <w:t xml:space="preserve">  </w:t>
      </w:r>
      <w:r>
        <w:rPr>
          <w:rFonts w:cstheme="minorHAnsi"/>
          <w:color w:val="474747"/>
          <w:shd w:val="clear" w:color="auto" w:fill="FFFFFF"/>
        </w:rPr>
        <w:t xml:space="preserve"> </w:t>
      </w:r>
      <w:r>
        <w:rPr>
          <w:rFonts w:cstheme="minorHAnsi"/>
        </w:rPr>
        <w:t xml:space="preserve"> </w:t>
      </w:r>
      <w:r>
        <w:rPr>
          <w:rFonts w:cstheme="minorHAnsi"/>
        </w:rPr>
        <w:t xml:space="preserve"> </w:t>
      </w:r>
      <w:r>
        <w:rPr>
          <w:rFonts w:cstheme="minorHAnsi"/>
        </w:rPr>
        <w:t xml:space="preserve"> </w:t>
      </w:r>
      <w:r>
        <w:rPr>
          <w:rFonts w:cstheme="minorHAnsi"/>
        </w:rPr>
        <w:t xml:space="preserve"> </w:t>
      </w:r>
    </w:p>
    <w:p>
      <w:pPr>
        <w:pStyle w:val="NoSpacing"/>
        <w:rPr>
          <w:b/>
          <w:u w:val="single"/>
        </w:rPr>
      </w:pPr>
      <w:r>
        <w:rPr>
          <w:b/>
          <w:u w:val="single"/>
        </w:rPr>
        <w:t>Agenda Item #2</w:t>
      </w:r>
      <w:r>
        <w:rPr>
          <w:b/>
          <w:u w:val="single"/>
        </w:rPr>
        <w:t>-</w:t>
      </w:r>
      <w:r>
        <w:rPr>
          <w:b/>
          <w:u w:val="single"/>
        </w:rPr>
        <w:t xml:space="preserve">Resolution - Cornwall Conservation Committee - Climate Smart Communities Task </w:t>
      </w:r>
    </w:p>
    <w:p>
      <w:pPr>
        <w:pStyle w:val="NoSpacing"/>
        <w:rPr>
          <w:b/>
          <w:u w:val="single"/>
        </w:rPr>
      </w:pPr>
      <w:r>
        <w:rPr>
          <w:b/>
          <w:u w:val="single"/>
        </w:rPr>
        <w:t>Force</w:t>
      </w:r>
    </w:p>
    <w:p>
      <w:pPr>
        <w:pStyle w:val="NoSpacing"/>
      </w:pPr>
      <w:r>
        <w:t>A motion to waive the reading of the resolution was made by Councilman Gold seconded by Councilwoman Michael-Razi.</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r>
        <w:t>WHEREAS the Town of Cornwall and the Village of Cornwall-on-Hudson have each adopted the New York State Climate Smart Communities Pledge and have been designated as Registered NY State Climate Smart Communities; and</w:t>
      </w:r>
      <w:r>
        <w:t xml:space="preserve"> </w:t>
      </w:r>
      <w:r>
        <w:t>WHEREAS it would be desirable and more effective to create an intermunicipal task force to cultivate cross-collaboration, bolster volunteer support and improve efficiency while both municipalities pursue CSC actions for the Town of Cornwall and the Village of Cornwall-on-Hudson; and</w:t>
      </w:r>
    </w:p>
    <w:p>
      <w:pPr>
        <w:pStyle w:val="NoSpacing"/>
      </w:pPr>
      <w:r>
        <w:t>WHEREAS, then Climate Smart Communities Task Force will consist of community members and a municipal representative, who will meet at least twice per year and maintain meeting minutes and attendance records for each meeting;</w:t>
      </w:r>
      <w:r>
        <w:t xml:space="preserve"> </w:t>
      </w:r>
      <w:r>
        <w:t>THEREFORE IT IS HEREBY RESOLVED, that the Town of Cornwall, in order to participate fully in the Climate Smart Communities program of NY State, moves to establish a Climate Smart Communities Intermunicipal Task Force, comprised of not less than one member of the Town Board of the Town of Cornwall and one member of the Village of Cornwall-on-Hudson Board of Trustees, along with interested members of both communities, and</w:t>
      </w:r>
      <w:r>
        <w:t xml:space="preserve"> </w:t>
      </w:r>
      <w:r>
        <w:t xml:space="preserve">BE IT FURTHER RESOLVED, the Town Board of the Town of Cornwall moves to appoint initial members of the Cornwall CSC Intermunicipal Task Force as: 1) the current chair of the Cornwall Conservation Advisory Council, Carla Castillo, 2) Town of Cornwall Board Member Mary Heed, 3) Village of Cornwall-on-Hudson Village Trustee Lori Beth Paliotta, 4) Cornwall Conservation Advisory Council member Nicole Augstein, 5) Cornwall Conservation Advisory Council member Kurt Chowanski, 6) Village of Cornwall-on-Hudson resident Martina Grecequet, 7) Town of Cornwall resident </w:t>
      </w:r>
      <w:r>
        <w:rPr>
          <w:color w:val="222222"/>
          <w:highlight w:val="white"/>
        </w:rPr>
        <w:t>Mara Davi Gaines</w:t>
      </w:r>
      <w:r>
        <w:t xml:space="preserve">, 8) Town of Cornwall resident </w:t>
      </w:r>
      <w:r>
        <w:rPr>
          <w:color w:val="222222"/>
          <w:highlight w:val="white"/>
        </w:rPr>
        <w:t>Sheryl Sturges</w:t>
      </w:r>
      <w:r>
        <w:t xml:space="preserve">, and 9) Town of Cornwall resident </w:t>
      </w:r>
      <w:r>
        <w:rPr>
          <w:color w:val="222222"/>
          <w:highlight w:val="white"/>
        </w:rPr>
        <w:t>Justin Rose</w:t>
      </w:r>
      <w:r>
        <w:t>, and</w:t>
      </w:r>
      <w:r>
        <w:t xml:space="preserve"> </w:t>
      </w:r>
      <w:r>
        <w:t xml:space="preserve">BE IT FURTHER RESOLVED, the Town Board of the </w:t>
      </w:r>
      <w:r>
        <w:lastRenderedPageBreak/>
        <w:t>Town of Cornwall moves to appoint Nicole Augstein and Kurt Chowanski to serve as Co-Coordinators of the Cornwall CSC Intermunicipal Task Force.</w:t>
      </w:r>
    </w:p>
    <w:p>
      <w:pPr>
        <w:pStyle w:val="NoSpacing"/>
      </w:pPr>
      <w:r>
        <w:t>A motion to approve was made by</w:t>
      </w:r>
      <w:r>
        <w:t xml:space="preserve"> Councilwoman Michael-Razi seconded by Councilman Gold.</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rPr>
          <w:b/>
          <w:u w:val="single"/>
        </w:rPr>
      </w:pPr>
      <w:r>
        <w:rPr>
          <w:b/>
          <w:u w:val="single"/>
        </w:rPr>
        <w:t>Agenda Item #3-</w:t>
      </w:r>
      <w:r>
        <w:rPr>
          <w:b/>
          <w:u w:val="single"/>
        </w:rPr>
        <w:t>Special Event Permit – Cornwall Independence Day Committee</w:t>
      </w:r>
    </w:p>
    <w:p>
      <w:pPr>
        <w:pStyle w:val="NoSpacing"/>
      </w:pPr>
      <w:r>
        <w:t xml:space="preserve">The event will </w:t>
      </w:r>
      <w:r>
        <w:t>take place Sunday</w:t>
      </w:r>
      <w:r>
        <w:t>,</w:t>
      </w:r>
      <w:r>
        <w:t xml:space="preserve"> April 19, 2026 at the Sands-Ring Homestead from 1:00 p.m.-4:30 p.m.  </w:t>
      </w:r>
    </w:p>
    <w:p>
      <w:pPr>
        <w:pStyle w:val="NoSpacing"/>
      </w:pPr>
      <w:r>
        <w:t xml:space="preserve">A motion to approve was made by Councilman McCarty seconded by </w:t>
      </w:r>
      <w:r>
        <w:t>Councilman Gold.</w:t>
      </w:r>
    </w:p>
    <w:p>
      <w:pPr>
        <w:pStyle w:val="NoSpacing"/>
        <w:rPr>
          <w:rFonts w:cstheme="minorHAnsi"/>
          <w:b/>
        </w:rPr>
      </w:pPr>
      <w:bookmarkStart w:id="1" w:name="_Hlk223347520"/>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1"/>
    <w:p>
      <w:pPr>
        <w:pStyle w:val="NoSpacing"/>
      </w:pPr>
    </w:p>
    <w:p>
      <w:pPr>
        <w:pStyle w:val="NoSpacing"/>
        <w:rPr>
          <w:b/>
          <w:u w:val="single"/>
        </w:rPr>
      </w:pPr>
      <w:r>
        <w:rPr>
          <w:b/>
          <w:u w:val="single"/>
        </w:rPr>
        <w:t>Agenda Item #4-</w:t>
      </w:r>
      <w:r>
        <w:rPr>
          <w:b/>
          <w:u w:val="single"/>
        </w:rPr>
        <w:t>Munistat Agreement – Strategic Consulting Services Agreement</w:t>
      </w:r>
    </w:p>
    <w:p>
      <w:pPr>
        <w:pStyle w:val="NoSpacing"/>
      </w:pPr>
      <w:r>
        <w:t>A motion to approve was made by Councilwoman Michael-Razi seconded by Councilman Gold.</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rPr>
          <w:b/>
          <w:u w:val="single"/>
        </w:rPr>
      </w:pPr>
      <w:r>
        <w:rPr>
          <w:b/>
          <w:u w:val="single"/>
        </w:rPr>
        <w:t>Agenda Item #5-</w:t>
      </w:r>
      <w:r>
        <w:rPr>
          <w:b/>
          <w:u w:val="single"/>
        </w:rPr>
        <w:t>Main Street Hotel Project - Update</w:t>
      </w:r>
    </w:p>
    <w:p>
      <w:pPr>
        <w:pStyle w:val="NoSpacing"/>
      </w:pPr>
      <w:r>
        <w:t xml:space="preserve">The building has been demolished.  Before a building can be demolished, the Building Inspector has to make sure all hazardous materials have been resolved.  In this case, asbestos was the concern.  The property owner hired an abatement expert </w:t>
      </w:r>
      <w:r>
        <w:t xml:space="preserve">and the </w:t>
      </w:r>
      <w:r>
        <w:t xml:space="preserve">abated material was verified.  Supervisor Wojehowski assures that all the proper steps were taken.  </w:t>
      </w:r>
      <w:r>
        <w:t xml:space="preserve">Site work permits have not been issued. </w:t>
      </w:r>
      <w:r>
        <w:t xml:space="preserve">The project has been accepted into the Brownfield Cleanup Program.  </w:t>
      </w:r>
    </w:p>
    <w:p>
      <w:pPr>
        <w:pStyle w:val="NoSpacing"/>
        <w:rPr>
          <w:b/>
          <w:highlight w:val="yellow"/>
          <w:u w:val="single"/>
        </w:rPr>
      </w:pPr>
    </w:p>
    <w:p>
      <w:pPr>
        <w:pStyle w:val="NoSpacing"/>
        <w:rPr>
          <w:b/>
          <w:u w:val="single"/>
        </w:rPr>
      </w:pPr>
      <w:r>
        <w:rPr>
          <w:b/>
          <w:u w:val="single"/>
        </w:rPr>
        <w:t>Agenda Item #6-</w:t>
      </w:r>
      <w:r>
        <w:rPr>
          <w:b/>
          <w:u w:val="single"/>
        </w:rPr>
        <w:t>SEQRA Lead Agency Coordination - CCSD Proposed Capital Improvement Projects</w:t>
      </w:r>
      <w:r>
        <w:rPr>
          <w:b/>
          <w:u w:val="single"/>
        </w:rPr>
        <w:t xml:space="preserve"> </w:t>
      </w:r>
    </w:p>
    <w:p>
      <w:pPr>
        <w:pStyle w:val="NoSpacing"/>
      </w:pPr>
      <w:r>
        <w:t xml:space="preserve">A motion </w:t>
      </w:r>
      <w:r>
        <w:t xml:space="preserve">for the Supervisor to sign the form authorizing </w:t>
      </w:r>
      <w:r>
        <w:t xml:space="preserve">the Cornwall Central School </w:t>
      </w:r>
      <w:r>
        <w:t>D</w:t>
      </w:r>
      <w:r>
        <w:t xml:space="preserve">istrict to act as lead agency </w:t>
      </w:r>
      <w:r>
        <w:t xml:space="preserve">for the project was made by </w:t>
      </w:r>
      <w:r>
        <w:t>Councilwoman Michael-Razi seconded by Councilman Gold.</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lastRenderedPageBreak/>
        <w:t>Motion carried.</w:t>
      </w:r>
    </w:p>
    <w:p>
      <w:pPr>
        <w:pStyle w:val="NoSpacing"/>
      </w:pPr>
    </w:p>
    <w:p>
      <w:pPr>
        <w:pStyle w:val="NoSpacing"/>
        <w:rPr>
          <w:b/>
          <w:u w:val="single"/>
        </w:rPr>
      </w:pPr>
    </w:p>
    <w:p>
      <w:pPr>
        <w:pStyle w:val="NoSpacing"/>
        <w:rPr>
          <w:b/>
          <w:u w:val="single"/>
        </w:rPr>
      </w:pPr>
      <w:r>
        <w:rPr>
          <w:b/>
          <w:u w:val="single"/>
        </w:rPr>
        <w:t>Agenda Item #7-</w:t>
      </w:r>
      <w:r>
        <w:rPr>
          <w:b/>
          <w:u w:val="single"/>
        </w:rPr>
        <w:t>Resolution - Best Value Pricing Law – Schedule Public Hearing</w:t>
      </w:r>
    </w:p>
    <w:p>
      <w:pPr>
        <w:pStyle w:val="NoSpacing"/>
      </w:pPr>
      <w:r>
        <w:t>WHEREAS, there has been introduced before the Town Board of the Town of Cornwall, a local law entitled “</w:t>
      </w:r>
      <w:r>
        <w:rPr>
          <w:rFonts w:eastAsia="Calibri"/>
        </w:rPr>
        <w:t>A Local Law To Permit The Town Of Cornwall To Exercise Its Local Option Under General Municipal Law § 103 And State Finance Law § 163 To Permit Procurement And Awards Based Upon Best Value Criteria</w:t>
      </w:r>
      <w:r>
        <w:t>”;</w:t>
      </w:r>
      <w:r>
        <w:t xml:space="preserve"> </w:t>
      </w:r>
      <w:r>
        <w:rPr>
          <w:rFonts w:eastAsia="Calibri"/>
        </w:rPr>
        <w:t>and</w:t>
      </w:r>
      <w:r>
        <w:t xml:space="preserve"> WHEREAS, the Town Board wishes to schedule a public hearing for </w:t>
      </w:r>
      <w:r>
        <w:t>March 17</w:t>
      </w:r>
      <w:r>
        <w:t>, 202</w:t>
      </w:r>
      <w:r>
        <w:t>6</w:t>
      </w:r>
      <w:r>
        <w:t xml:space="preserve"> at 7:00 pm to consider the adoption of the foregoing proposed Local Law; and</w:t>
      </w:r>
      <w:r>
        <w:t xml:space="preserve"> </w:t>
      </w:r>
      <w:r>
        <w:t>WHEREAS, said proposed Local Law is listed as a Type II Action under Section 617.5(c)(26) of the State Environmental Quality Review Act (SEQRA) and is not subject to further review under SEQRA</w:t>
      </w:r>
      <w:r>
        <w:t xml:space="preserve"> </w:t>
      </w:r>
      <w:r>
        <w:t xml:space="preserve">NOW, THEREFORE, IT IS HEREBY </w:t>
      </w:r>
    </w:p>
    <w:p>
      <w:pPr>
        <w:pStyle w:val="NoSpacing"/>
      </w:pPr>
      <w:r>
        <w:t xml:space="preserve">RESOLVED, that a public hearing be held by the Town Board on </w:t>
      </w:r>
      <w:r>
        <w:t>March 17, 2026</w:t>
      </w:r>
      <w:r>
        <w:t xml:space="preserve"> at 7:00 p.m. with respect to the proposed Local Law; and it is further</w:t>
      </w:r>
      <w:r>
        <w:t xml:space="preserve"> </w:t>
      </w:r>
      <w:r>
        <w:t>RESOLVED, that the Town Clerk is hereby authorized and directed to cause public notice of said hearing to be given as provided by law.</w:t>
      </w:r>
    </w:p>
    <w:p>
      <w:pPr>
        <w:pStyle w:val="NoSpacing"/>
      </w:pPr>
      <w:r>
        <w:t>A motion to approve was made by Councilman Gold seconded by Councilwoman Michael-Razi.</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r>
        <w:t xml:space="preserve"> </w:t>
      </w:r>
    </w:p>
    <w:p>
      <w:pPr>
        <w:pStyle w:val="NoSpacing"/>
        <w:rPr>
          <w:b/>
          <w:u w:val="single"/>
        </w:rPr>
      </w:pPr>
      <w:r>
        <w:rPr>
          <w:b/>
          <w:u w:val="single"/>
        </w:rPr>
        <w:t>Agenda Item #8-</w:t>
      </w:r>
      <w:r>
        <w:rPr>
          <w:b/>
          <w:u w:val="single"/>
        </w:rPr>
        <w:t>Resolution – Local Law to Amend Short Term Rental Regulations – Change Permit Term</w:t>
      </w:r>
    </w:p>
    <w:p>
      <w:pPr>
        <w:pStyle w:val="NoSpacing"/>
        <w:rPr>
          <w:rFonts w:eastAsia="Calibri" w:cstheme="minorHAnsi"/>
          <w:b/>
          <w:bCs/>
        </w:rPr>
      </w:pPr>
      <w:r>
        <w:rPr>
          <w:bCs/>
        </w:rPr>
        <w:t xml:space="preserve">WHEREAS, </w:t>
      </w:r>
      <w:r>
        <w:t xml:space="preserve">there has been introduced before the Town Board of the Town of Cornwall, a local law entitled “A Local Law Of The Town Of Cornwall Amending Town Code Chapter 120 Entitled “Short-Term Rentals” To Reduce The Term Of Issued Permits From Two Years To One Year”; and </w:t>
      </w:r>
      <w:r>
        <w:rPr>
          <w:bCs/>
        </w:rPr>
        <w:t>WHEREAS</w:t>
      </w:r>
      <w:r>
        <w:t>, the Town Board wishes to schedule a public hearing for March 17, 2026 at 7:00 pm to consider the adoption of the foregoing proposed Local Law; and</w:t>
      </w:r>
      <w:r>
        <w:rPr>
          <w:rFonts w:eastAsia="Calibri" w:cstheme="minorHAnsi"/>
          <w:b/>
          <w:bCs/>
        </w:rPr>
        <w:t xml:space="preserve"> </w:t>
      </w:r>
      <w:r>
        <w:rPr>
          <w:bCs/>
        </w:rPr>
        <w:t>WHEREAS,</w:t>
      </w:r>
      <w:r>
        <w:t xml:space="preserve"> said proposed Local Law is listed as a Type II Action under Section 617.5(c)(26) of the State Environmental Quality Review Act (SEQRA) and is not subject to further review under SEQRA</w:t>
      </w:r>
      <w:r>
        <w:rPr>
          <w:rFonts w:eastAsia="Calibri" w:cstheme="minorHAnsi"/>
          <w:b/>
          <w:bCs/>
        </w:rPr>
        <w:t xml:space="preserve"> </w:t>
      </w:r>
      <w:r>
        <w:rPr>
          <w:bCs/>
        </w:rPr>
        <w:t xml:space="preserve">NOW, THEREFORE, IT IS HEREBY RESOLVED, </w:t>
      </w:r>
      <w:r>
        <w:t>that a public hearing be held by the Town Board on March 17, 2026 at 7:00 p.m. with respect to the proposed Local Law; and it is further</w:t>
      </w:r>
    </w:p>
    <w:p>
      <w:pPr>
        <w:pStyle w:val="NoSpacing"/>
      </w:pPr>
      <w:r>
        <w:rPr>
          <w:bCs/>
        </w:rPr>
        <w:t>RESOLVED,</w:t>
      </w:r>
      <w:r>
        <w:t xml:space="preserve"> that the Town Clerk is hereby authorized and directed to cause public notice of said hearing to be given as provided by law.</w:t>
      </w:r>
    </w:p>
    <w:p>
      <w:pPr>
        <w:pStyle w:val="NoSpacing"/>
      </w:pPr>
      <w:r>
        <w:t>A motion to approve was made by Councilman McCarty seconded by Councilwoman Michael-Razi.</w:t>
      </w:r>
    </w:p>
    <w:p>
      <w:pPr>
        <w:pStyle w:val="NoSpacing"/>
        <w:rPr>
          <w:rFonts w:cstheme="minorHAnsi"/>
          <w:b/>
        </w:rPr>
      </w:pPr>
      <w:bookmarkStart w:id="2" w:name="_Hlk223350817"/>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2"/>
    <w:p>
      <w:pPr>
        <w:pStyle w:val="NoSpacing"/>
      </w:pPr>
    </w:p>
    <w:p>
      <w:pPr>
        <w:pStyle w:val="NoSpacing"/>
        <w:rPr>
          <w:b/>
          <w:u w:val="single"/>
        </w:rPr>
      </w:pPr>
      <w:r>
        <w:rPr>
          <w:b/>
          <w:u w:val="single"/>
        </w:rPr>
        <w:t>Agenda Item #9-</w:t>
      </w:r>
      <w:r>
        <w:rPr>
          <w:b/>
          <w:u w:val="single"/>
        </w:rPr>
        <w:t>Resolution – Tax Certiorari Settlement- Gra</w:t>
      </w:r>
      <w:r>
        <w:rPr>
          <w:b/>
          <w:u w:val="single"/>
        </w:rPr>
        <w:t>y</w:t>
      </w:r>
    </w:p>
    <w:p>
      <w:pPr>
        <w:pStyle w:val="NoSpacing"/>
        <w:rPr>
          <w:rFonts w:eastAsia="Times New Roman" w:cstheme="minorHAnsi"/>
          <w:lang w:eastAsia="ar-SA"/>
        </w:rPr>
      </w:pPr>
      <w:r>
        <w:rPr>
          <w:b/>
        </w:rPr>
        <w:t xml:space="preserve"> </w:t>
      </w:r>
      <w:r>
        <w:rPr>
          <w:lang w:eastAsia="ar-SA"/>
        </w:rPr>
        <w:t>WHEREAS, challenges having been filed by the property owner, below challenging real property tax assessments on the Town’s assessment roll with respect to the following parcels:</w:t>
      </w:r>
    </w:p>
    <w:p>
      <w:pPr>
        <w:widowControl w:val="0"/>
        <w:tabs>
          <w:tab w:val="left" w:pos="-1440"/>
          <w:tab w:val="left" w:pos="3598"/>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0"/>
          <w:u w:val="single"/>
          <w:lang w:eastAsia="ar-SA"/>
        </w:rPr>
        <w:t>Property Owner:</w:t>
      </w:r>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t>Roger Gray and Shelley Gray</w:t>
      </w:r>
    </w:p>
    <w:p>
      <w:pPr>
        <w:widowControl w:val="0"/>
        <w:tabs>
          <w:tab w:val="left" w:pos="-720"/>
        </w:tabs>
        <w:suppressAutoHyphens/>
        <w:spacing w:after="0" w:line="240" w:lineRule="auto"/>
        <w:jc w:val="both"/>
        <w:rPr>
          <w:rFonts w:ascii="Times New Roman" w:eastAsia="Times New Roman" w:hAnsi="Times New Roman" w:cs="Times New Roman"/>
          <w:b/>
          <w:spacing w:val="-3"/>
          <w:sz w:val="24"/>
          <w:szCs w:val="24"/>
          <w:lang w:eastAsia="ar-SA"/>
        </w:rPr>
      </w:pPr>
      <w:r>
        <w:rPr>
          <w:rFonts w:ascii="Times New Roman" w:eastAsia="Times New Roman" w:hAnsi="Times New Roman" w:cs="Times New Roman"/>
          <w:b/>
          <w:sz w:val="24"/>
          <w:szCs w:val="20"/>
          <w:u w:val="single"/>
          <w:lang w:eastAsia="ar-SA"/>
        </w:rPr>
        <w:lastRenderedPageBreak/>
        <w:t>Address/Description:</w:t>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46, 70 Meadowbrook Lane</w:t>
      </w:r>
    </w:p>
    <w:p>
      <w:pPr>
        <w:widowControl w:val="0"/>
        <w:tabs>
          <w:tab w:val="left" w:pos="-720"/>
        </w:tabs>
        <w:suppressAutoHyphens/>
        <w:spacing w:after="0" w:line="240" w:lineRule="auto"/>
        <w:jc w:val="both"/>
        <w:rPr>
          <w:rFonts w:ascii="Times New Roman" w:eastAsia="Times New Roman" w:hAnsi="Times New Roman" w:cs="Times New Roman"/>
          <w:b/>
          <w:spacing w:val="-3"/>
          <w:sz w:val="24"/>
          <w:szCs w:val="24"/>
          <w:lang w:eastAsia="ar-SA"/>
        </w:rPr>
      </w:pP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(Tax IDs: 4-2-13.31, 4-2-15.1</w:t>
      </w:r>
    </w:p>
    <w:p>
      <w:pPr>
        <w:widowControl w:val="0"/>
        <w:tabs>
          <w:tab w:val="left" w:pos="-720"/>
        </w:tabs>
        <w:suppressAutoHyphens/>
        <w:spacing w:after="0" w:line="240" w:lineRule="auto"/>
        <w:jc w:val="both"/>
        <w:rPr>
          <w:rFonts w:ascii="Times New Roman" w:eastAsia="Times New Roman" w:hAnsi="Times New Roman" w:cs="Times New Roman"/>
          <w:b/>
          <w:spacing w:val="-3"/>
          <w:sz w:val="24"/>
          <w:szCs w:val="24"/>
          <w:shd w:val="clear" w:color="auto" w:fill="FFFFFF"/>
          <w:lang w:eastAsia="ar-SA"/>
        </w:rPr>
      </w:pPr>
      <w:r>
        <w:rPr>
          <w:rFonts w:ascii="Times New Roman" w:eastAsia="Times New Roman" w:hAnsi="Times New Roman" w:cs="Times New Roman"/>
          <w:b/>
          <w:sz w:val="24"/>
          <w:szCs w:val="20"/>
          <w:u w:val="single"/>
          <w:lang w:eastAsia="ar-SA"/>
        </w:rPr>
        <w:t>Year(s):</w:t>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z w:val="24"/>
          <w:szCs w:val="20"/>
          <w:lang w:eastAsia="ar-SA"/>
        </w:rPr>
        <w:t>2022-2025</w:t>
      </w:r>
    </w:p>
    <w:p>
      <w:pPr>
        <w:widowControl w:val="0"/>
        <w:tabs>
          <w:tab w:val="left" w:pos="-720"/>
        </w:tabs>
        <w:suppressAutoHyphens/>
        <w:spacing w:after="0" w:line="240" w:lineRule="auto"/>
        <w:jc w:val="both"/>
        <w:rPr>
          <w:rFonts w:ascii="Times New Roman" w:eastAsia="Times New Roman" w:hAnsi="Times New Roman" w:cs="Times New Roman"/>
          <w:sz w:val="24"/>
          <w:szCs w:val="20"/>
          <w:lang w:eastAsia="ar-SA"/>
        </w:rPr>
      </w:pPr>
      <w:r>
        <w:rPr>
          <w:lang w:eastAsia="ar-SA"/>
        </w:rPr>
        <w:t>WHEREAS, petitioner’s court challenge is now pending in the Supreme Court, Orange County; and</w:t>
      </w:r>
    </w:p>
    <w:p>
      <w:pPr>
        <w:pStyle w:val="NoSpacing"/>
        <w:rPr>
          <w:lang w:eastAsia="ar-SA"/>
        </w:rPr>
      </w:pPr>
      <w:bookmarkStart w:id="3" w:name="_Hlk26797501"/>
      <w:r>
        <w:rPr>
          <w:lang w:eastAsia="ar-SA"/>
        </w:rPr>
        <w:t>WHEREAS, the Town and the property owner have reached a mutually agreeable resolution;</w:t>
      </w:r>
      <w:r>
        <w:rPr>
          <w:lang w:eastAsia="ar-SA"/>
        </w:rPr>
        <w:t xml:space="preserve"> </w:t>
      </w:r>
      <w:r>
        <w:rPr>
          <w:lang w:eastAsia="ar-SA"/>
        </w:rPr>
        <w:t>NOW THEREFORE BE IT RESOLVED, the special counsel to the Town is authorized to execute a settlement on behalf of the Town for assessments for no less than the following:</w:t>
      </w:r>
    </w:p>
    <w:p>
      <w:pPr>
        <w:widowControl w:val="0"/>
        <w:suppressAutoHyphens/>
        <w:spacing w:after="0" w:line="480" w:lineRule="auto"/>
        <w:jc w:val="both"/>
        <w:rPr>
          <w:rFonts w:ascii="Times New Roman" w:eastAsia="Times New Roman" w:hAnsi="Times New Roman" w:cs="Times New Roman"/>
          <w:b/>
          <w:bCs/>
          <w:sz w:val="24"/>
          <w:szCs w:val="24"/>
          <w:lang w:eastAsia="ar-SA"/>
        </w:rPr>
      </w:pPr>
      <w:bookmarkStart w:id="4" w:name="_Hlk116858995"/>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eastAsia="ar-SA"/>
        </w:rPr>
        <w:t>46 Meadowbrook Lane -</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4"/>
          <w:lang w:eastAsia="ar-SA"/>
        </w:rPr>
        <w:t>Tax ID: 4-2-13.31:</w:t>
      </w:r>
    </w:p>
    <w:tbl>
      <w:tblPr>
        <w:tblW w:w="10965" w:type="dxa"/>
        <w:tblInd w:w="-708" w:type="dxa"/>
        <w:tblLayout w:type="fixed"/>
        <w:tblCellMar>
          <w:top w:w="55" w:type="dxa"/>
          <w:left w:w="55" w:type="dxa"/>
          <w:bottom w:w="55" w:type="dxa"/>
          <w:right w:w="55" w:type="dxa"/>
        </w:tblCellMar>
        <w:tblLook w:val="04A0" w:firstRow="1" w:lastRow="0" w:firstColumn="1" w:lastColumn="0" w:noHBand="0" w:noVBand="1"/>
      </w:tblPr>
      <w:tblGrid>
        <w:gridCol w:w="775"/>
        <w:gridCol w:w="932"/>
        <w:gridCol w:w="1248"/>
        <w:gridCol w:w="1170"/>
        <w:gridCol w:w="1260"/>
        <w:gridCol w:w="1530"/>
        <w:gridCol w:w="1350"/>
        <w:gridCol w:w="1350"/>
        <w:gridCol w:w="1350"/>
      </w:tblGrid>
      <w:tr>
        <w:trPr>
          <w:trHeight w:val="303"/>
        </w:trPr>
        <w:tc>
          <w:tcPr>
            <w:tcW w:w="775"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Year</w:t>
            </w:r>
          </w:p>
        </w:tc>
        <w:tc>
          <w:tcPr>
            <w:tcW w:w="932"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Eq Rate</w:t>
            </w:r>
          </w:p>
        </w:tc>
        <w:tc>
          <w:tcPr>
            <w:tcW w:w="1248"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Assessed Value</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Taxable AV</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Market Value</w:t>
            </w:r>
          </w:p>
        </w:tc>
        <w:tc>
          <w:tcPr>
            <w:tcW w:w="1530"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Assessed Value</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Taxable AV</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Assessment Reduction</w:t>
            </w:r>
          </w:p>
        </w:tc>
        <w:tc>
          <w:tcPr>
            <w:tcW w:w="1350" w:type="dxa"/>
            <w:tcBorders>
              <w:top w:val="single" w:sz="2" w:space="0" w:color="000000"/>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Taxable</w:t>
            </w:r>
          </w:p>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b/>
                <w:bCs/>
                <w:sz w:val="24"/>
                <w:szCs w:val="20"/>
                <w:lang w:eastAsia="ar-SA"/>
              </w:rPr>
              <w:t>Assessment Reduction</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2022</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75.45%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236,400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103,017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$231,942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175,000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41,617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61,400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61,400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2023</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67.45%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236,400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9,714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N/A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236,400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9,714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2024</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65.17%</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236,400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102,440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$268,528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175,000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41,040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61,400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61,400</w:t>
            </w:r>
          </w:p>
        </w:tc>
      </w:tr>
      <w:tr>
        <w:trPr>
          <w:trHeight w:val="286"/>
        </w:trPr>
        <w:tc>
          <w:tcPr>
            <w:tcW w:w="775" w:type="dxa"/>
            <w:tcBorders>
              <w:top w:val="nil"/>
              <w:left w:val="single" w:sz="2" w:space="0" w:color="000000"/>
              <w:bottom w:val="single" w:sz="2" w:space="0" w:color="000000"/>
              <w:right w:val="nil"/>
            </w:tcBorders>
            <w:vAlign w:val="bottom"/>
            <w:hideMark/>
          </w:tcPr>
          <w:p>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2" w:type="dxa"/>
            <w:tcBorders>
              <w:top w:val="nil"/>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63.22%</w:t>
            </w:r>
          </w:p>
        </w:tc>
        <w:tc>
          <w:tcPr>
            <w:tcW w:w="1248"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236,400 </w:t>
            </w:r>
          </w:p>
        </w:tc>
        <w:tc>
          <w:tcPr>
            <w:tcW w:w="117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102,414 </w:t>
            </w:r>
          </w:p>
        </w:tc>
        <w:tc>
          <w:tcPr>
            <w:tcW w:w="126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$276,811 </w:t>
            </w:r>
          </w:p>
        </w:tc>
        <w:tc>
          <w:tcPr>
            <w:tcW w:w="1530"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175,000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41,014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61,400</w:t>
            </w:r>
          </w:p>
        </w:tc>
        <w:tc>
          <w:tcPr>
            <w:tcW w:w="1350" w:type="dxa"/>
            <w:tcBorders>
              <w:top w:val="nil"/>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61,400</w:t>
            </w:r>
          </w:p>
        </w:tc>
      </w:tr>
    </w:tbl>
    <w:p>
      <w:pPr>
        <w:widowControl w:val="0"/>
        <w:suppressAutoHyphens/>
        <w:spacing w:after="0" w:line="48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70 Meadowbrook Lane -</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4"/>
          <w:lang w:eastAsia="ar-SA"/>
        </w:rPr>
        <w:t>Tax ID: 4-2-15.1:</w:t>
      </w:r>
    </w:p>
    <w:tbl>
      <w:tblPr>
        <w:tblW w:w="9055" w:type="dxa"/>
        <w:tblLayout w:type="fixed"/>
        <w:tblCellMar>
          <w:top w:w="55" w:type="dxa"/>
          <w:left w:w="55" w:type="dxa"/>
          <w:bottom w:w="55" w:type="dxa"/>
          <w:right w:w="55" w:type="dxa"/>
        </w:tblCellMar>
        <w:tblLook w:val="04A0" w:firstRow="1" w:lastRow="0" w:firstColumn="1" w:lastColumn="0" w:noHBand="0" w:noVBand="1"/>
      </w:tblPr>
      <w:tblGrid>
        <w:gridCol w:w="775"/>
        <w:gridCol w:w="1440"/>
        <w:gridCol w:w="1710"/>
        <w:gridCol w:w="1710"/>
        <w:gridCol w:w="1710"/>
        <w:gridCol w:w="1710"/>
      </w:tblGrid>
      <w:tr>
        <w:trPr>
          <w:trHeight w:val="303"/>
        </w:trPr>
        <w:tc>
          <w:tcPr>
            <w:tcW w:w="775"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Year</w:t>
            </w:r>
          </w:p>
        </w:tc>
        <w:tc>
          <w:tcPr>
            <w:tcW w:w="144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Equalization Rate</w:t>
            </w:r>
          </w:p>
        </w:tc>
        <w:tc>
          <w:tcPr>
            <w:tcW w:w="1710"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Assessed Value</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Market Value</w:t>
            </w:r>
          </w:p>
        </w:tc>
        <w:tc>
          <w:tcPr>
            <w:tcW w:w="1710"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Assessed Value</w:t>
            </w:r>
          </w:p>
        </w:tc>
        <w:tc>
          <w:tcPr>
            <w:tcW w:w="1710" w:type="dxa"/>
            <w:tcBorders>
              <w:top w:val="single" w:sz="2" w:space="0" w:color="000000"/>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b/>
                <w:bCs/>
                <w:sz w:val="24"/>
                <w:szCs w:val="20"/>
                <w:lang w:eastAsia="ar-SA"/>
              </w:rPr>
              <w:t>Assessment Reduction</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2022</w:t>
            </w:r>
          </w:p>
        </w:tc>
        <w:tc>
          <w:tcPr>
            <w:tcW w:w="1440"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75.45%</w:t>
            </w:r>
          </w:p>
        </w:tc>
        <w:tc>
          <w:tcPr>
            <w:tcW w:w="1710"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color w:val="000000"/>
                <w:sz w:val="24"/>
                <w:szCs w:val="24"/>
                <w:lang w:eastAsia="ar-SA"/>
              </w:rPr>
              <w:t>187,100</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$231,942 </w:t>
            </w:r>
          </w:p>
        </w:tc>
        <w:tc>
          <w:tcPr>
            <w:tcW w:w="171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175,000 </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12,100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2023</w:t>
            </w:r>
          </w:p>
        </w:tc>
        <w:tc>
          <w:tcPr>
            <w:tcW w:w="1440"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67.45%</w:t>
            </w:r>
          </w:p>
        </w:tc>
        <w:tc>
          <w:tcPr>
            <w:tcW w:w="1710"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color w:val="000000"/>
                <w:sz w:val="24"/>
                <w:szCs w:val="24"/>
                <w:lang w:eastAsia="ar-SA"/>
              </w:rPr>
              <w:t>187,100</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$259,451 </w:t>
            </w:r>
          </w:p>
        </w:tc>
        <w:tc>
          <w:tcPr>
            <w:tcW w:w="171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175,000 </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12,100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2024</w:t>
            </w:r>
          </w:p>
        </w:tc>
        <w:tc>
          <w:tcPr>
            <w:tcW w:w="1440"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65.17%</w:t>
            </w:r>
          </w:p>
        </w:tc>
        <w:tc>
          <w:tcPr>
            <w:tcW w:w="1710"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187,100</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$268,528 </w:t>
            </w:r>
          </w:p>
        </w:tc>
        <w:tc>
          <w:tcPr>
            <w:tcW w:w="171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175,000 </w:t>
            </w:r>
          </w:p>
        </w:tc>
        <w:tc>
          <w:tcPr>
            <w:tcW w:w="171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12,100</w:t>
            </w:r>
          </w:p>
        </w:tc>
      </w:tr>
      <w:tr>
        <w:trPr>
          <w:trHeight w:val="286"/>
        </w:trPr>
        <w:tc>
          <w:tcPr>
            <w:tcW w:w="775" w:type="dxa"/>
            <w:tcBorders>
              <w:top w:val="nil"/>
              <w:left w:val="single" w:sz="2" w:space="0" w:color="000000"/>
              <w:bottom w:val="single" w:sz="2" w:space="0" w:color="000000"/>
              <w:right w:val="nil"/>
            </w:tcBorders>
            <w:vAlign w:val="bottom"/>
            <w:hideMark/>
          </w:tcPr>
          <w:p>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1440" w:type="dxa"/>
            <w:tcBorders>
              <w:top w:val="nil"/>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63.22%</w:t>
            </w:r>
          </w:p>
        </w:tc>
        <w:tc>
          <w:tcPr>
            <w:tcW w:w="1710" w:type="dxa"/>
            <w:tcBorders>
              <w:top w:val="nil"/>
              <w:left w:val="single" w:sz="2" w:space="0" w:color="000000"/>
              <w:bottom w:val="single" w:sz="2" w:space="0" w:color="000000"/>
              <w:right w:val="nil"/>
            </w:tcBorders>
            <w:vAlign w:val="bottom"/>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187,100</w:t>
            </w:r>
          </w:p>
        </w:tc>
        <w:tc>
          <w:tcPr>
            <w:tcW w:w="171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$276,811 </w:t>
            </w:r>
          </w:p>
        </w:tc>
        <w:tc>
          <w:tcPr>
            <w:tcW w:w="1710"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175,000 </w:t>
            </w:r>
          </w:p>
        </w:tc>
        <w:tc>
          <w:tcPr>
            <w:tcW w:w="1710" w:type="dxa"/>
            <w:tcBorders>
              <w:top w:val="nil"/>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12,100</w:t>
            </w:r>
          </w:p>
        </w:tc>
      </w:tr>
      <w:bookmarkEnd w:id="3"/>
      <w:bookmarkEnd w:id="4"/>
    </w:tbl>
    <w:p>
      <w:pPr>
        <w:pStyle w:val="NoSpacing"/>
      </w:pPr>
    </w:p>
    <w:p>
      <w:pPr>
        <w:pStyle w:val="NoSpacing"/>
      </w:pPr>
      <w:r>
        <w:t>A motion to approve was made by Councilwoman Michael-Razi seconded by Councilman Gold.</w:t>
      </w:r>
    </w:p>
    <w:p>
      <w:pPr>
        <w:pStyle w:val="NoSpacing"/>
        <w:rPr>
          <w:rFonts w:cstheme="minorHAnsi"/>
          <w:b/>
        </w:rPr>
      </w:pPr>
      <w:bookmarkStart w:id="5" w:name="_Hlk223350625"/>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5"/>
    <w:p>
      <w:pPr>
        <w:pStyle w:val="NoSpacing"/>
      </w:pPr>
    </w:p>
    <w:p>
      <w:pPr>
        <w:pStyle w:val="NoSpacing"/>
        <w:rPr>
          <w:b/>
          <w:u w:val="single"/>
        </w:rPr>
      </w:pPr>
      <w:r>
        <w:rPr>
          <w:b/>
          <w:u w:val="single"/>
        </w:rPr>
        <w:t>Agenda Item #10-</w:t>
      </w:r>
      <w:r>
        <w:rPr>
          <w:b/>
          <w:u w:val="single"/>
        </w:rPr>
        <w:t>Resolution – Tax Certiorari Settlement – Ivy Rock Farms, LLC</w:t>
      </w:r>
    </w:p>
    <w:p>
      <w:pPr>
        <w:pStyle w:val="NoSpacing"/>
        <w:rPr>
          <w:b/>
          <w:u w:val="single"/>
          <w:lang w:eastAsia="ar-SA"/>
        </w:rPr>
      </w:pPr>
      <w:r>
        <w:rPr>
          <w:lang w:eastAsia="ar-SA"/>
        </w:rPr>
        <w:t>WHEREAS, challenges having been filed by the property owner, below challenging real property tax assessments on the Town’s assessment roll with respect to the following parcels:</w:t>
      </w:r>
    </w:p>
    <w:p>
      <w:pPr>
        <w:widowControl w:val="0"/>
        <w:tabs>
          <w:tab w:val="left" w:pos="-1440"/>
          <w:tab w:val="left" w:pos="3598"/>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0"/>
          <w:u w:val="single"/>
          <w:lang w:eastAsia="ar-SA"/>
        </w:rPr>
        <w:t>Property Owner:</w:t>
      </w:r>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bookmarkStart w:id="6" w:name="_Hlk191137569"/>
      <w:r>
        <w:rPr>
          <w:rFonts w:ascii="Times New Roman" w:eastAsia="Times New Roman" w:hAnsi="Times New Roman" w:cs="Times New Roman"/>
          <w:b/>
          <w:spacing w:val="-3"/>
          <w:sz w:val="24"/>
          <w:szCs w:val="24"/>
          <w:lang w:eastAsia="ar-SA"/>
        </w:rPr>
        <w:t>Ivy Rock Farms, LLC</w:t>
      </w:r>
      <w:bookmarkEnd w:id="6"/>
    </w:p>
    <w:p>
      <w:pPr>
        <w:widowControl w:val="0"/>
        <w:tabs>
          <w:tab w:val="left" w:pos="-720"/>
        </w:tabs>
        <w:suppressAutoHyphens/>
        <w:spacing w:after="0" w:line="240" w:lineRule="auto"/>
        <w:jc w:val="both"/>
        <w:rPr>
          <w:rFonts w:ascii="Times New Roman" w:eastAsia="Times New Roman" w:hAnsi="Times New Roman" w:cs="Times New Roman"/>
          <w:b/>
          <w:spacing w:val="-3"/>
          <w:sz w:val="24"/>
          <w:szCs w:val="24"/>
          <w:lang w:eastAsia="ar-SA"/>
        </w:rPr>
      </w:pPr>
      <w:r>
        <w:rPr>
          <w:rFonts w:ascii="Times New Roman" w:eastAsia="Times New Roman" w:hAnsi="Times New Roman" w:cs="Times New Roman"/>
          <w:b/>
          <w:sz w:val="24"/>
          <w:szCs w:val="20"/>
          <w:u w:val="single"/>
          <w:lang w:eastAsia="ar-SA"/>
        </w:rPr>
        <w:t>Address/Description:</w:t>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pacing w:val="-3"/>
          <w:sz w:val="24"/>
          <w:szCs w:val="24"/>
          <w:lang w:eastAsia="ar-SA"/>
        </w:rPr>
        <w:tab/>
      </w:r>
      <w:bookmarkStart w:id="7" w:name="_Hlk191137554"/>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99 Purdy Lane</w:t>
      </w:r>
      <w:bookmarkEnd w:id="7"/>
    </w:p>
    <w:p>
      <w:pPr>
        <w:widowControl w:val="0"/>
        <w:tabs>
          <w:tab w:val="left" w:pos="-720"/>
        </w:tabs>
        <w:suppressAutoHyphens/>
        <w:spacing w:after="0" w:line="240" w:lineRule="auto"/>
        <w:jc w:val="both"/>
        <w:rPr>
          <w:rFonts w:ascii="Times New Roman" w:eastAsia="Times New Roman" w:hAnsi="Times New Roman" w:cs="Times New Roman"/>
          <w:b/>
          <w:spacing w:val="-3"/>
          <w:sz w:val="24"/>
          <w:szCs w:val="24"/>
          <w:shd w:val="clear" w:color="auto" w:fill="FFFFFF"/>
          <w:lang w:eastAsia="ar-SA"/>
        </w:rPr>
      </w:pP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ab/>
      </w:r>
      <w:r>
        <w:rPr>
          <w:rFonts w:ascii="Times New Roman" w:eastAsia="Times New Roman" w:hAnsi="Times New Roman" w:cs="Times New Roman"/>
          <w:b/>
          <w:spacing w:val="-3"/>
          <w:sz w:val="24"/>
          <w:szCs w:val="24"/>
          <w:lang w:eastAsia="ar-SA"/>
        </w:rPr>
        <w:t xml:space="preserve">            </w:t>
      </w:r>
      <w:r>
        <w:rPr>
          <w:rFonts w:ascii="Times New Roman" w:eastAsia="Times New Roman" w:hAnsi="Times New Roman" w:cs="Times New Roman"/>
          <w:b/>
          <w:spacing w:val="-3"/>
          <w:sz w:val="24"/>
          <w:szCs w:val="24"/>
          <w:lang w:eastAsia="ar-SA"/>
        </w:rPr>
        <w:t>(</w:t>
      </w:r>
      <w:bookmarkStart w:id="8" w:name="_Hlk191137525"/>
      <w:r>
        <w:rPr>
          <w:rFonts w:ascii="Times New Roman" w:eastAsia="Times New Roman" w:hAnsi="Times New Roman" w:cs="Times New Roman"/>
          <w:b/>
          <w:spacing w:val="-3"/>
          <w:sz w:val="24"/>
          <w:szCs w:val="24"/>
          <w:lang w:eastAsia="ar-SA"/>
        </w:rPr>
        <w:t>Tax IDs: 4-2-87.2, 4-2-17)</w:t>
      </w:r>
      <w:bookmarkEnd w:id="8"/>
    </w:p>
    <w:p>
      <w:pPr>
        <w:widowControl w:val="0"/>
        <w:tabs>
          <w:tab w:val="left" w:pos="-720"/>
        </w:tabs>
        <w:suppressAutoHyphens/>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u w:val="single"/>
          <w:lang w:eastAsia="ar-SA"/>
        </w:rPr>
        <w:t>Year(s):</w:t>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ab/>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b/>
          <w:sz w:val="24"/>
          <w:szCs w:val="20"/>
          <w:lang w:eastAsia="ar-SA"/>
        </w:rPr>
        <w:t>2022-2025</w:t>
      </w:r>
    </w:p>
    <w:p>
      <w:pPr>
        <w:widowControl w:val="0"/>
        <w:tabs>
          <w:tab w:val="left" w:pos="-720"/>
        </w:tabs>
        <w:suppressAutoHyphens/>
        <w:spacing w:after="0" w:line="240" w:lineRule="auto"/>
        <w:jc w:val="both"/>
        <w:rPr>
          <w:rFonts w:ascii="Times New Roman" w:eastAsia="Times New Roman" w:hAnsi="Times New Roman" w:cs="Times New Roman"/>
          <w:b/>
          <w:sz w:val="24"/>
          <w:szCs w:val="20"/>
          <w:lang w:eastAsia="ar-SA"/>
        </w:rPr>
      </w:pPr>
      <w:r>
        <w:rPr>
          <w:lang w:eastAsia="ar-SA"/>
        </w:rPr>
        <w:t>WHEREAS, petitioner’s court challenge is now pending in the Supreme Court, Orange County; and</w:t>
      </w:r>
    </w:p>
    <w:p>
      <w:pPr>
        <w:pStyle w:val="NoSpacing"/>
        <w:rPr>
          <w:lang w:eastAsia="ar-SA"/>
        </w:rPr>
      </w:pPr>
      <w:r>
        <w:rPr>
          <w:lang w:eastAsia="ar-SA"/>
        </w:rPr>
        <w:lastRenderedPageBreak/>
        <w:t>WHEREAS, the Town and the property owner have reached a mutually agreeable resolution;</w:t>
      </w:r>
      <w:r>
        <w:rPr>
          <w:lang w:eastAsia="ar-SA"/>
        </w:rPr>
        <w:t xml:space="preserve"> </w:t>
      </w:r>
      <w:r>
        <w:rPr>
          <w:lang w:eastAsia="ar-SA"/>
        </w:rPr>
        <w:t>NOW THEREFORE BE IT RESOLVED, the special counsel to the Town is authorized to execute a settlement on behalf of the Town for assessments for no less than the following:</w:t>
      </w:r>
    </w:p>
    <w:p>
      <w:pPr>
        <w:widowControl w:val="0"/>
        <w:suppressAutoHyphens/>
        <w:spacing w:after="0" w:line="480" w:lineRule="auto"/>
        <w:ind w:left="2160" w:firstLine="720"/>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99 Purdy Lane -</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4"/>
          <w:lang w:eastAsia="ar-SA"/>
        </w:rPr>
        <w:t>Tax ID: 4-2-87.2:</w:t>
      </w:r>
    </w:p>
    <w:tbl>
      <w:tblPr>
        <w:tblW w:w="10965" w:type="dxa"/>
        <w:tblInd w:w="-708" w:type="dxa"/>
        <w:tblLayout w:type="fixed"/>
        <w:tblCellMar>
          <w:top w:w="55" w:type="dxa"/>
          <w:left w:w="55" w:type="dxa"/>
          <w:bottom w:w="55" w:type="dxa"/>
          <w:right w:w="55" w:type="dxa"/>
        </w:tblCellMar>
        <w:tblLook w:val="04A0" w:firstRow="1" w:lastRow="0" w:firstColumn="1" w:lastColumn="0" w:noHBand="0" w:noVBand="1"/>
      </w:tblPr>
      <w:tblGrid>
        <w:gridCol w:w="775"/>
        <w:gridCol w:w="932"/>
        <w:gridCol w:w="1248"/>
        <w:gridCol w:w="1170"/>
        <w:gridCol w:w="1260"/>
        <w:gridCol w:w="1530"/>
        <w:gridCol w:w="1350"/>
        <w:gridCol w:w="1350"/>
        <w:gridCol w:w="1350"/>
      </w:tblGrid>
      <w:tr>
        <w:trPr>
          <w:trHeight w:val="303"/>
        </w:trPr>
        <w:tc>
          <w:tcPr>
            <w:tcW w:w="775"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Year</w:t>
            </w:r>
          </w:p>
        </w:tc>
        <w:tc>
          <w:tcPr>
            <w:tcW w:w="932"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Eq Rate</w:t>
            </w:r>
          </w:p>
        </w:tc>
        <w:tc>
          <w:tcPr>
            <w:tcW w:w="1248"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Assessed Value</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Taxable AV</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Market Value</w:t>
            </w:r>
          </w:p>
        </w:tc>
        <w:tc>
          <w:tcPr>
            <w:tcW w:w="1530"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Assessed Value</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Taxable AV</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Assessment Reduction</w:t>
            </w:r>
          </w:p>
        </w:tc>
        <w:tc>
          <w:tcPr>
            <w:tcW w:w="1350" w:type="dxa"/>
            <w:tcBorders>
              <w:top w:val="single" w:sz="2" w:space="0" w:color="000000"/>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Taxable</w:t>
            </w:r>
          </w:p>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b/>
                <w:bCs/>
                <w:sz w:val="24"/>
                <w:szCs w:val="20"/>
                <w:lang w:eastAsia="ar-SA"/>
              </w:rPr>
              <w:t>Assessment Reduction</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2022</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75.45%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790,000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664,018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N/A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790,000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664,018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2023</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67.45%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790,000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582,319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$985,026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664,400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456,719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125,600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125,600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2024</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65.17%</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790,000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660,788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$977,505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637,000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507,788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153,000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153,000</w:t>
            </w:r>
          </w:p>
        </w:tc>
      </w:tr>
      <w:tr>
        <w:trPr>
          <w:trHeight w:val="286"/>
        </w:trPr>
        <w:tc>
          <w:tcPr>
            <w:tcW w:w="775" w:type="dxa"/>
            <w:tcBorders>
              <w:top w:val="nil"/>
              <w:left w:val="single" w:sz="2" w:space="0" w:color="000000"/>
              <w:bottom w:val="single" w:sz="2" w:space="0" w:color="000000"/>
              <w:right w:val="nil"/>
            </w:tcBorders>
            <w:vAlign w:val="bottom"/>
            <w:hideMark/>
          </w:tcPr>
          <w:p>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2" w:type="dxa"/>
            <w:tcBorders>
              <w:top w:val="nil"/>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63.22%</w:t>
            </w:r>
          </w:p>
        </w:tc>
        <w:tc>
          <w:tcPr>
            <w:tcW w:w="1248"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790,000 </w:t>
            </w:r>
          </w:p>
        </w:tc>
        <w:tc>
          <w:tcPr>
            <w:tcW w:w="117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660,788 </w:t>
            </w:r>
          </w:p>
        </w:tc>
        <w:tc>
          <w:tcPr>
            <w:tcW w:w="126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$970,642 </w:t>
            </w:r>
          </w:p>
        </w:tc>
        <w:tc>
          <w:tcPr>
            <w:tcW w:w="1530"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613,600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484,388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176,400</w:t>
            </w:r>
          </w:p>
        </w:tc>
        <w:tc>
          <w:tcPr>
            <w:tcW w:w="1350" w:type="dxa"/>
            <w:tcBorders>
              <w:top w:val="nil"/>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176,258</w:t>
            </w:r>
          </w:p>
        </w:tc>
      </w:tr>
    </w:tbl>
    <w:p>
      <w:pPr>
        <w:widowControl w:val="0"/>
        <w:suppressAutoHyphens/>
        <w:spacing w:after="0" w:line="480" w:lineRule="auto"/>
        <w:ind w:left="2160" w:firstLine="720"/>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99 Purdy Lane -</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
          <w:bCs/>
          <w:sz w:val="24"/>
          <w:szCs w:val="24"/>
          <w:lang w:eastAsia="ar-SA"/>
        </w:rPr>
        <w:t>Tax ID: 4-2-17:</w:t>
      </w:r>
    </w:p>
    <w:tbl>
      <w:tblPr>
        <w:tblW w:w="10965" w:type="dxa"/>
        <w:tblInd w:w="-708" w:type="dxa"/>
        <w:tblLayout w:type="fixed"/>
        <w:tblCellMar>
          <w:top w:w="55" w:type="dxa"/>
          <w:left w:w="55" w:type="dxa"/>
          <w:bottom w:w="55" w:type="dxa"/>
          <w:right w:w="55" w:type="dxa"/>
        </w:tblCellMar>
        <w:tblLook w:val="04A0" w:firstRow="1" w:lastRow="0" w:firstColumn="1" w:lastColumn="0" w:noHBand="0" w:noVBand="1"/>
      </w:tblPr>
      <w:tblGrid>
        <w:gridCol w:w="775"/>
        <w:gridCol w:w="932"/>
        <w:gridCol w:w="1248"/>
        <w:gridCol w:w="1170"/>
        <w:gridCol w:w="1260"/>
        <w:gridCol w:w="1530"/>
        <w:gridCol w:w="1350"/>
        <w:gridCol w:w="1350"/>
        <w:gridCol w:w="1350"/>
      </w:tblGrid>
      <w:tr>
        <w:trPr>
          <w:trHeight w:val="303"/>
        </w:trPr>
        <w:tc>
          <w:tcPr>
            <w:tcW w:w="775"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Year</w:t>
            </w:r>
          </w:p>
        </w:tc>
        <w:tc>
          <w:tcPr>
            <w:tcW w:w="932"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Eq Rate</w:t>
            </w:r>
          </w:p>
        </w:tc>
        <w:tc>
          <w:tcPr>
            <w:tcW w:w="1248"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Assessed Value</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Original Taxable AV</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Market Value</w:t>
            </w:r>
          </w:p>
        </w:tc>
        <w:tc>
          <w:tcPr>
            <w:tcW w:w="1530" w:type="dxa"/>
            <w:tcBorders>
              <w:top w:val="single" w:sz="2" w:space="0" w:color="000000"/>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Assessed Value</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Settlement Taxable AV</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Assessment Reduction</w:t>
            </w:r>
          </w:p>
        </w:tc>
        <w:tc>
          <w:tcPr>
            <w:tcW w:w="1350" w:type="dxa"/>
            <w:tcBorders>
              <w:top w:val="single" w:sz="2" w:space="0" w:color="000000"/>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Taxable</w:t>
            </w:r>
          </w:p>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b/>
                <w:bCs/>
                <w:sz w:val="24"/>
                <w:szCs w:val="20"/>
                <w:lang w:eastAsia="ar-SA"/>
              </w:rPr>
              <w:t>Assessment Reduction</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2022</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75.45%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123,375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$192,180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123,375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r>
      <w:tr>
        <w:trPr>
          <w:trHeight w:val="303"/>
        </w:trPr>
        <w:tc>
          <w:tcPr>
            <w:tcW w:w="775" w:type="dxa"/>
            <w:tcBorders>
              <w:top w:val="single" w:sz="2" w:space="0" w:color="000000"/>
              <w:left w:val="single" w:sz="2" w:space="0" w:color="000000"/>
              <w:bottom w:val="single" w:sz="2" w:space="0" w:color="000000"/>
              <w:right w:val="nil"/>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2023</w:t>
            </w:r>
          </w:p>
        </w:tc>
        <w:tc>
          <w:tcPr>
            <w:tcW w:w="932" w:type="dxa"/>
            <w:tcBorders>
              <w:top w:val="single" w:sz="2" w:space="0" w:color="000000"/>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67.45%</w:t>
            </w:r>
          </w:p>
        </w:tc>
        <w:tc>
          <w:tcPr>
            <w:tcW w:w="1248"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17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7,915 </w:t>
            </w:r>
          </w:p>
        </w:tc>
        <w:tc>
          <w:tcPr>
            <w:tcW w:w="126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$214,974 </w:t>
            </w:r>
          </w:p>
        </w:tc>
        <w:tc>
          <w:tcPr>
            <w:tcW w:w="1530" w:type="dxa"/>
            <w:tcBorders>
              <w:top w:val="single" w:sz="2" w:space="0" w:color="000000"/>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7,915 </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0</w:t>
            </w:r>
          </w:p>
        </w:tc>
        <w:tc>
          <w:tcPr>
            <w:tcW w:w="1350" w:type="dxa"/>
            <w:tcBorders>
              <w:top w:val="single" w:sz="2" w:space="0" w:color="000000"/>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r>
      <w:tr>
        <w:trPr>
          <w:trHeight w:val="286"/>
        </w:trPr>
        <w:tc>
          <w:tcPr>
            <w:tcW w:w="775" w:type="dxa"/>
            <w:tcBorders>
              <w:top w:val="nil"/>
              <w:left w:val="single" w:sz="2" w:space="0" w:color="000000"/>
              <w:bottom w:val="single" w:sz="2" w:space="0" w:color="000000"/>
              <w:right w:val="nil"/>
            </w:tcBorders>
            <w:vAlign w:val="bottom"/>
          </w:tcPr>
          <w:p>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w:t>
            </w:r>
          </w:p>
        </w:tc>
        <w:tc>
          <w:tcPr>
            <w:tcW w:w="932" w:type="dxa"/>
            <w:tcBorders>
              <w:top w:val="nil"/>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65.17%</w:t>
            </w:r>
          </w:p>
        </w:tc>
        <w:tc>
          <w:tcPr>
            <w:tcW w:w="1248" w:type="dxa"/>
            <w:tcBorders>
              <w:top w:val="nil"/>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17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123,113 </w:t>
            </w:r>
          </w:p>
        </w:tc>
        <w:tc>
          <w:tcPr>
            <w:tcW w:w="126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$222,495 </w:t>
            </w:r>
          </w:p>
        </w:tc>
        <w:tc>
          <w:tcPr>
            <w:tcW w:w="1530" w:type="dxa"/>
            <w:tcBorders>
              <w:top w:val="nil"/>
              <w:left w:val="single" w:sz="2" w:space="0" w:color="000000"/>
              <w:bottom w:val="single" w:sz="2" w:space="0" w:color="000000"/>
              <w:right w:val="nil"/>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145,000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 123,113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0</w:t>
            </w:r>
          </w:p>
        </w:tc>
      </w:tr>
      <w:tr>
        <w:trPr>
          <w:trHeight w:val="286"/>
        </w:trPr>
        <w:tc>
          <w:tcPr>
            <w:tcW w:w="775" w:type="dxa"/>
            <w:tcBorders>
              <w:top w:val="nil"/>
              <w:left w:val="single" w:sz="2" w:space="0" w:color="000000"/>
              <w:bottom w:val="single" w:sz="2" w:space="0" w:color="000000"/>
              <w:right w:val="nil"/>
            </w:tcBorders>
            <w:vAlign w:val="bottom"/>
            <w:hideMark/>
          </w:tcPr>
          <w:p>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2" w:type="dxa"/>
            <w:tcBorders>
              <w:top w:val="nil"/>
              <w:left w:val="single" w:sz="2" w:space="0" w:color="000000"/>
              <w:bottom w:val="single" w:sz="2" w:space="0" w:color="000000"/>
              <w:right w:val="single" w:sz="2" w:space="0" w:color="000000"/>
            </w:tcBorders>
            <w:vAlign w:val="bottom"/>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63.22%</w:t>
            </w:r>
          </w:p>
        </w:tc>
        <w:tc>
          <w:tcPr>
            <w:tcW w:w="1248"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145,000 </w:t>
            </w:r>
          </w:p>
        </w:tc>
        <w:tc>
          <w:tcPr>
            <w:tcW w:w="117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123,103 </w:t>
            </w:r>
          </w:p>
        </w:tc>
        <w:tc>
          <w:tcPr>
            <w:tcW w:w="126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$229,358 </w:t>
            </w:r>
          </w:p>
        </w:tc>
        <w:tc>
          <w:tcPr>
            <w:tcW w:w="1530" w:type="dxa"/>
            <w:tcBorders>
              <w:top w:val="nil"/>
              <w:left w:val="single" w:sz="2" w:space="0" w:color="000000"/>
              <w:bottom w:val="single" w:sz="2" w:space="0" w:color="000000"/>
              <w:right w:val="nil"/>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 xml:space="preserve"> 145,000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 xml:space="preserve"> 123,103 </w:t>
            </w:r>
          </w:p>
        </w:tc>
        <w:tc>
          <w:tcPr>
            <w:tcW w:w="1350" w:type="dxa"/>
            <w:tcBorders>
              <w:top w:val="nil"/>
              <w:left w:val="single" w:sz="2" w:space="0" w:color="000000"/>
              <w:bottom w:val="single" w:sz="2" w:space="0" w:color="000000"/>
              <w:right w:val="single" w:sz="2" w:space="0" w:color="000000"/>
            </w:tcBorders>
          </w:tcPr>
          <w:p>
            <w:pPr>
              <w:widowControl w:val="0"/>
              <w:suppressLineNumbers/>
              <w:suppressAutoHyphens/>
              <w:spacing w:after="0" w:line="256"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sz w:val="24"/>
                <w:szCs w:val="20"/>
                <w:lang w:eastAsia="ar-SA"/>
              </w:rPr>
              <w:t>0</w:t>
            </w:r>
          </w:p>
        </w:tc>
        <w:tc>
          <w:tcPr>
            <w:tcW w:w="1350" w:type="dxa"/>
            <w:tcBorders>
              <w:top w:val="nil"/>
              <w:left w:val="single" w:sz="2" w:space="0" w:color="000000"/>
              <w:bottom w:val="single" w:sz="2" w:space="0" w:color="000000"/>
              <w:right w:val="single" w:sz="2" w:space="0" w:color="000000"/>
            </w:tcBorders>
            <w:hideMark/>
          </w:tcPr>
          <w:p>
            <w:pPr>
              <w:widowControl w:val="0"/>
              <w:suppressLineNumbers/>
              <w:suppressAutoHyphens/>
              <w:spacing w:after="0" w:line="25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0</w:t>
            </w:r>
          </w:p>
        </w:tc>
      </w:tr>
    </w:tbl>
    <w:p>
      <w:pPr>
        <w:pStyle w:val="NoSpacing"/>
        <w:rPr>
          <w:b/>
          <w:u w:val="single"/>
        </w:rPr>
      </w:pPr>
    </w:p>
    <w:p>
      <w:pPr>
        <w:pStyle w:val="NoSpacing"/>
      </w:pPr>
      <w:r>
        <w:t>A motion to approve was made by Councilwoman Michael-Razi seconded by Councilman Gold.</w:t>
      </w:r>
    </w:p>
    <w:p>
      <w:pPr>
        <w:pStyle w:val="NoSpacing"/>
        <w:rPr>
          <w:rFonts w:cstheme="minorHAnsi"/>
          <w:b/>
        </w:rPr>
      </w:pPr>
      <w:bookmarkStart w:id="9" w:name="_Hlk223353677"/>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9"/>
    <w:p>
      <w:pPr>
        <w:pStyle w:val="NoSpacing"/>
      </w:pPr>
    </w:p>
    <w:p>
      <w:pPr>
        <w:pStyle w:val="NoSpacing"/>
        <w:rPr>
          <w:b/>
          <w:u w:val="single"/>
        </w:rPr>
      </w:pPr>
    </w:p>
    <w:p>
      <w:pPr>
        <w:pStyle w:val="NoSpacing"/>
        <w:rPr>
          <w:b/>
          <w:u w:val="single"/>
        </w:rPr>
      </w:pPr>
      <w:r>
        <w:rPr>
          <w:b/>
          <w:u w:val="single"/>
        </w:rPr>
        <w:t>Agenda Item #11-</w:t>
      </w:r>
      <w:r>
        <w:rPr>
          <w:b/>
          <w:u w:val="single"/>
        </w:rPr>
        <w:t>Engineering Services Agreement – New Highway Garage Land Development Study &amp; Report</w:t>
      </w:r>
    </w:p>
    <w:p>
      <w:pPr>
        <w:pStyle w:val="NoSpacing"/>
      </w:pPr>
      <w:r>
        <w:t>A motion to approve was made by Councilman McCarty seconded by Councilwoman Michael-Razi.</w:t>
      </w:r>
    </w:p>
    <w:p>
      <w:pPr>
        <w:pStyle w:val="NoSpacing"/>
        <w:rPr>
          <w:rFonts w:cstheme="minorHAnsi"/>
          <w:b/>
        </w:rPr>
      </w:pPr>
      <w:bookmarkStart w:id="10" w:name="_Hlk223351949"/>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10"/>
    <w:p>
      <w:pPr>
        <w:pStyle w:val="NoSpacing"/>
      </w:pPr>
    </w:p>
    <w:p>
      <w:pPr>
        <w:pStyle w:val="NoSpacing"/>
        <w:rPr>
          <w:b/>
          <w:u w:val="single"/>
        </w:rPr>
      </w:pPr>
      <w:r>
        <w:rPr>
          <w:b/>
          <w:u w:val="single"/>
        </w:rPr>
        <w:t>Agenda Item #12-</w:t>
      </w:r>
      <w:r>
        <w:rPr>
          <w:b/>
          <w:u w:val="single"/>
        </w:rPr>
        <w:t>Engineering Services Agreement Amendment – Jackson Ave Culvert Replacement</w:t>
      </w:r>
    </w:p>
    <w:p>
      <w:pPr>
        <w:pStyle w:val="NoSpacing"/>
      </w:pPr>
      <w:r>
        <w:t xml:space="preserve">A </w:t>
      </w:r>
      <w:r>
        <w:t xml:space="preserve">motion </w:t>
      </w:r>
      <w:r>
        <w:t>to approve was made by Councilwoman Michael-Razi seconded by Councilman Gold.</w:t>
      </w:r>
    </w:p>
    <w:p>
      <w:pPr>
        <w:pStyle w:val="NoSpacing"/>
        <w:rPr>
          <w:rFonts w:cstheme="minorHAnsi"/>
          <w:b/>
        </w:rPr>
      </w:pPr>
      <w:bookmarkStart w:id="11" w:name="_Hlk223353578"/>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bookmarkEnd w:id="11"/>
    <w:p>
      <w:pPr>
        <w:pStyle w:val="NoSpacing"/>
      </w:pPr>
    </w:p>
    <w:p>
      <w:pPr>
        <w:pStyle w:val="NoSpacing"/>
        <w:rPr>
          <w:b/>
          <w:u w:val="single"/>
        </w:rPr>
      </w:pPr>
      <w:r>
        <w:rPr>
          <w:b/>
          <w:u w:val="single"/>
        </w:rPr>
        <w:t>Agenda Item #13-</w:t>
      </w:r>
      <w:r>
        <w:rPr>
          <w:b/>
          <w:u w:val="single"/>
        </w:rPr>
        <w:t>Resolution - Assessor’s Office – Retain Appraiser</w:t>
      </w:r>
    </w:p>
    <w:p>
      <w:pPr>
        <w:pStyle w:val="NoSpacing"/>
      </w:pPr>
      <w:r>
        <w:t xml:space="preserve">A motion to waive the </w:t>
      </w:r>
      <w:r>
        <w:t xml:space="preserve">reading of the resolution was made by </w:t>
      </w:r>
      <w:r>
        <w:t>Councilman McCarty seconded by Councilman Gold.</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bCs/>
        </w:rPr>
      </w:pPr>
      <w:r>
        <w:rPr>
          <w:rFonts w:cstheme="minorHAnsi"/>
          <w:b/>
        </w:rPr>
        <w:t>Motion carried.</w:t>
      </w:r>
    </w:p>
    <w:p>
      <w:pPr>
        <w:pStyle w:val="NoSpacing"/>
        <w:rPr>
          <w:rFonts w:cstheme="minorHAnsi"/>
          <w:b/>
          <w:bCs/>
        </w:rPr>
      </w:pPr>
      <w:r>
        <w:t xml:space="preserve">WHEREAS, Town Board of the Town of Cornwall previously </w:t>
      </w:r>
      <w:r>
        <w:t xml:space="preserve">solicited proposals </w:t>
      </w:r>
      <w:r>
        <w:t xml:space="preserve">for the purpose of seeking qualified applicants to perform professional </w:t>
      </w:r>
      <w:r>
        <w:t xml:space="preserve">appraisal </w:t>
      </w:r>
      <w:r>
        <w:t xml:space="preserve">services for the </w:t>
      </w:r>
      <w:r>
        <w:t xml:space="preserve">18 Ridge Road and 25 Boulevard (SBL’s 38-1-19.2 and 38-1-18) </w:t>
      </w:r>
      <w:r>
        <w:t>within the Town; and</w:t>
      </w:r>
      <w:r>
        <w:rPr>
          <w:rFonts w:cstheme="minorHAnsi"/>
          <w:b/>
          <w:bCs/>
        </w:rPr>
        <w:t xml:space="preserve"> </w:t>
      </w:r>
      <w:r>
        <w:t xml:space="preserve">WHEREAS, in response to the </w:t>
      </w:r>
      <w:r>
        <w:t>solicitation</w:t>
      </w:r>
      <w:r>
        <w:t xml:space="preserve">, the Town obtained proposals for this service from prospective vendors and </w:t>
      </w:r>
      <w:r>
        <w:t xml:space="preserve">Sterling Appraisals, Inc. of Scarsdale, New York </w:t>
      </w:r>
      <w:r>
        <w:t>(“</w:t>
      </w:r>
      <w:r>
        <w:t>Sterling</w:t>
      </w:r>
      <w:r>
        <w:t>”), has made a proposal to provide such services; and</w:t>
      </w:r>
      <w:r>
        <w:t xml:space="preserve"> </w:t>
      </w:r>
      <w:r>
        <w:t xml:space="preserve">WHEREAS, the Town Board has determined that it is in the overall best interests of the Town to enter into a contract with </w:t>
      </w:r>
      <w:r>
        <w:t xml:space="preserve">Sterling </w:t>
      </w:r>
      <w:r>
        <w:t xml:space="preserve">for the aforesaid </w:t>
      </w:r>
      <w:r>
        <w:t>appraisal</w:t>
      </w:r>
      <w:r>
        <w:t xml:space="preserve">, NOW THEREFORE, IT IS HEREBY RESOLVED, that the Town Board of the Town of Cornwall hereby authorizes the Town Supervisor, or his designee, to accept the proposal of </w:t>
      </w:r>
      <w:r>
        <w:t xml:space="preserve">Sterling Appraisals Inc. </w:t>
      </w:r>
      <w:r>
        <w:t xml:space="preserve">of </w:t>
      </w:r>
      <w:r>
        <w:t>Scarsdale</w:t>
      </w:r>
      <w:r>
        <w:t xml:space="preserve">, New York to provide professional </w:t>
      </w:r>
      <w:r>
        <w:t xml:space="preserve">property appraisal </w:t>
      </w:r>
      <w:r>
        <w:t xml:space="preserve">services for </w:t>
      </w:r>
      <w:r>
        <w:t xml:space="preserve">18 Ridge Road and 25 Boulevard (SBL’s 38-1-19.2 and 38-1-18) </w:t>
      </w:r>
      <w:r>
        <w:t>within the Town, said proposal being annexed hereto, and to execute any other appropriate documents, all of which shall be subject to review and approval by the Town Attorney; and it is further</w:t>
      </w:r>
      <w:r>
        <w:t xml:space="preserve"> </w:t>
      </w:r>
      <w:r>
        <w:t>RESOLVED, that the contract costs associated with this Resolution shall be paid from the appropriate budget line as determined by the Town’s Accounting Department.</w:t>
      </w:r>
    </w:p>
    <w:p>
      <w:pPr>
        <w:pStyle w:val="NoSpacing"/>
      </w:pPr>
      <w:r>
        <w:t>A motion to approve was made by Councilman Gold seconded by Councilman McCarty.</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rPr>
          <w:b/>
          <w:u w:val="single"/>
        </w:rPr>
      </w:pPr>
      <w:r>
        <w:rPr>
          <w:b/>
          <w:u w:val="single"/>
        </w:rPr>
        <w:t>Agenda Item #14-</w:t>
      </w:r>
      <w:r>
        <w:rPr>
          <w:b/>
          <w:u w:val="single"/>
        </w:rPr>
        <w:t>Approve Submission - Orange County Municipal Legislative Grant</w:t>
      </w:r>
    </w:p>
    <w:p>
      <w:pPr>
        <w:pStyle w:val="NoSpacing"/>
      </w:pPr>
      <w:r>
        <w:t>Supervisor Wojehowski stated that</w:t>
      </w:r>
      <w:r>
        <w:t xml:space="preserve"> he would like to continue with</w:t>
      </w:r>
      <w:r>
        <w:t xml:space="preserve"> grants for</w:t>
      </w:r>
      <w:r>
        <w:t xml:space="preserve"> the Senior Program.  </w:t>
      </w:r>
    </w:p>
    <w:p>
      <w:pPr>
        <w:pStyle w:val="NoSpacing"/>
      </w:pPr>
      <w:r>
        <w:t>A motion to submit the Municipal Legislative Grant was made by Councilman Gold seconded by Councilman McCarty.</w:t>
      </w:r>
    </w:p>
    <w:p>
      <w:pPr>
        <w:pStyle w:val="NoSpacing"/>
        <w:rPr>
          <w:rFonts w:cstheme="minorHAnsi"/>
          <w:b/>
        </w:rPr>
      </w:pPr>
      <w:r>
        <w:rPr>
          <w:rFonts w:cstheme="minorHAnsi"/>
          <w:b/>
        </w:rPr>
        <w:lastRenderedPageBreak/>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rPr>
          <w:b/>
          <w:u w:val="single"/>
        </w:rPr>
      </w:pPr>
      <w:r>
        <w:rPr>
          <w:b/>
          <w:u w:val="single"/>
        </w:rPr>
        <w:t>Agenda Item #15-</w:t>
      </w:r>
      <w:r>
        <w:rPr>
          <w:b/>
          <w:u w:val="single"/>
        </w:rPr>
        <w:t>Approve Submission - Orange County Municipal Tourism Grant</w:t>
      </w:r>
    </w:p>
    <w:p>
      <w:pPr>
        <w:pStyle w:val="NoSpacing"/>
      </w:pPr>
      <w:r>
        <w:t xml:space="preserve">This grant </w:t>
      </w:r>
      <w:r>
        <w:t>would be for marketing and advertising.</w:t>
      </w:r>
      <w:r>
        <w:t xml:space="preserve">  </w:t>
      </w:r>
      <w:r>
        <w:t xml:space="preserve">The </w:t>
      </w:r>
      <w:r>
        <w:t>following</w:t>
      </w:r>
      <w:r>
        <w:t xml:space="preserve"> motion </w:t>
      </w:r>
      <w:r>
        <w:t>is for this grant and the Legislative one also.</w:t>
      </w:r>
    </w:p>
    <w:p>
      <w:pPr>
        <w:pStyle w:val="NoSpacing"/>
      </w:pPr>
      <w:r>
        <w:t>A motion to complete, execute and submit both grant applications and in the event that one or both of the grants are awarded</w:t>
      </w:r>
      <w:r>
        <w:t>,</w:t>
      </w:r>
      <w:r>
        <w:t xml:space="preserve"> author</w:t>
      </w:r>
      <w:r>
        <w:t>iz</w:t>
      </w:r>
      <w:r>
        <w:t>ing the Supervisor to execute any and all documents with the County or other agencies necessary</w:t>
      </w:r>
      <w:r>
        <w:t xml:space="preserve"> to</w:t>
      </w:r>
      <w:r>
        <w:t xml:space="preserve"> effectuate the grant awards was made by Councilman Gold seconded by Councilman McCarty.</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r>
        <w:t xml:space="preserve">    </w:t>
      </w:r>
    </w:p>
    <w:p>
      <w:pPr>
        <w:pStyle w:val="NoSpacing"/>
        <w:rPr>
          <w:b/>
          <w:u w:val="single"/>
        </w:rPr>
      </w:pPr>
      <w:r>
        <w:rPr>
          <w:b/>
          <w:u w:val="single"/>
        </w:rPr>
        <w:t>Agenda Item #16-</w:t>
      </w:r>
      <w:r>
        <w:rPr>
          <w:b/>
          <w:u w:val="single"/>
        </w:rPr>
        <w:t>Board of Assessment Review - Appointments</w:t>
      </w:r>
    </w:p>
    <w:p>
      <w:pPr>
        <w:pStyle w:val="NoSpacing"/>
      </w:pPr>
      <w:r>
        <w:t>John Alva-term expires 12/31/2030</w:t>
      </w:r>
    </w:p>
    <w:p>
      <w:pPr>
        <w:pStyle w:val="NoSpacing"/>
      </w:pPr>
      <w:r>
        <w:t>Donna Brunell-term expires</w:t>
      </w:r>
      <w:r>
        <w:t xml:space="preserve"> 9/30/2027</w:t>
      </w:r>
    </w:p>
    <w:p>
      <w:pPr>
        <w:pStyle w:val="NoSpacing"/>
      </w:pPr>
      <w:r>
        <w:t>A motion to approve was made by Councilman Gold seconded by Councilwoman Michael-Razi.</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rPr>
          <w:rFonts w:eastAsia="Times New Roman"/>
          <w:b/>
          <w:snapToGrid w:val="0"/>
          <w:color w:val="000000"/>
          <w:u w:val="single"/>
        </w:rPr>
      </w:pPr>
      <w:r>
        <w:rPr>
          <w:b/>
          <w:u w:val="single"/>
        </w:rPr>
        <w:t>Agenda Item #17-</w:t>
      </w:r>
      <w:r>
        <w:rPr>
          <w:b/>
          <w:u w:val="single"/>
        </w:rPr>
        <w:t>Items Received After Final Agenda Publication</w:t>
      </w:r>
    </w:p>
    <w:p>
      <w:pPr>
        <w:pStyle w:val="NoSpacing"/>
        <w:rPr>
          <w:rFonts w:eastAsia="Times New Roman"/>
          <w:snapToGrid w:val="0"/>
          <w:color w:val="000000"/>
        </w:rPr>
      </w:pPr>
      <w:r>
        <w:rPr>
          <w:rFonts w:eastAsia="Times New Roman"/>
          <w:snapToGrid w:val="0"/>
          <w:color w:val="000000"/>
        </w:rPr>
        <w:t>A special meeting will be held on 2/26/2026 at 8:30 a.m. to discuss and approve insurance quotes.</w:t>
      </w:r>
    </w:p>
    <w:p>
      <w:pPr>
        <w:pStyle w:val="NoSpacing"/>
        <w:rPr>
          <w:rFonts w:eastAsia="Times New Roman"/>
          <w:snapToGrid w:val="0"/>
          <w:color w:val="000000"/>
        </w:rPr>
      </w:pPr>
      <w:r>
        <w:rPr>
          <w:rFonts w:eastAsia="Times New Roman"/>
          <w:snapToGrid w:val="0"/>
          <w:color w:val="000000"/>
        </w:rPr>
        <w:t>A motion to approve was made by Councilman Gold seconded by Councilwoman Michael-Razi.</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rPr>
          <w:rFonts w:eastAsia="Times New Roman"/>
          <w:snapToGrid w:val="0"/>
          <w:color w:val="000000"/>
        </w:rPr>
      </w:pPr>
    </w:p>
    <w:p>
      <w:pPr>
        <w:pStyle w:val="NoSpacing"/>
        <w:rPr>
          <w:rFonts w:eastAsia="Times New Roman"/>
          <w:b/>
          <w:snapToGrid w:val="0"/>
          <w:color w:val="000000"/>
          <w:u w:val="single"/>
        </w:rPr>
      </w:pPr>
    </w:p>
    <w:p>
      <w:pPr>
        <w:pStyle w:val="NoSpacing"/>
        <w:rPr>
          <w:rFonts w:eastAsia="Times New Roman"/>
          <w:b/>
          <w:snapToGrid w:val="0"/>
          <w:color w:val="000000"/>
          <w:u w:val="single"/>
        </w:rPr>
      </w:pPr>
    </w:p>
    <w:p>
      <w:pPr>
        <w:pStyle w:val="NoSpacing"/>
        <w:rPr>
          <w:rFonts w:eastAsia="Times New Roman"/>
          <w:b/>
          <w:snapToGrid w:val="0"/>
          <w:color w:val="000000"/>
          <w:u w:val="single"/>
        </w:rPr>
      </w:pPr>
      <w:r>
        <w:rPr>
          <w:rFonts w:eastAsia="Times New Roman"/>
          <w:b/>
          <w:snapToGrid w:val="0"/>
          <w:color w:val="000000"/>
          <w:u w:val="single"/>
        </w:rPr>
        <w:lastRenderedPageBreak/>
        <w:t>Public Comment – 3 Minute Limit</w:t>
      </w:r>
    </w:p>
    <w:p>
      <w:pPr>
        <w:pStyle w:val="NoSpacing"/>
        <w:rPr>
          <w:rFonts w:eastAsia="Times New Roman"/>
          <w:snapToGrid w:val="0"/>
          <w:color w:val="000000"/>
        </w:rPr>
      </w:pPr>
      <w:r>
        <w:rPr>
          <w:rFonts w:eastAsia="Times New Roman"/>
          <w:snapToGrid w:val="0"/>
          <w:color w:val="000000"/>
        </w:rPr>
        <w:t xml:space="preserve">Greg Robie </w:t>
      </w:r>
      <w:r>
        <w:rPr>
          <w:rFonts w:eastAsia="Times New Roman"/>
          <w:snapToGrid w:val="0"/>
          <w:color w:val="000000"/>
        </w:rPr>
        <w:t>gave the Board two resolution</w:t>
      </w:r>
      <w:r>
        <w:rPr>
          <w:rFonts w:eastAsia="Times New Roman"/>
          <w:snapToGrid w:val="0"/>
          <w:color w:val="000000"/>
        </w:rPr>
        <w:t>s</w:t>
      </w:r>
      <w:r>
        <w:rPr>
          <w:rFonts w:eastAsia="Times New Roman"/>
          <w:snapToGrid w:val="0"/>
          <w:color w:val="000000"/>
        </w:rPr>
        <w:t xml:space="preserve"> he has been working on.  Mr. Robie referenced the Assessor asking for outside expertise when neede</w:t>
      </w:r>
      <w:r>
        <w:rPr>
          <w:rFonts w:eastAsia="Times New Roman"/>
          <w:snapToGrid w:val="0"/>
          <w:color w:val="000000"/>
        </w:rPr>
        <w:t>d and suggest</w:t>
      </w:r>
      <w:r>
        <w:rPr>
          <w:rFonts w:eastAsia="Times New Roman"/>
          <w:snapToGrid w:val="0"/>
          <w:color w:val="000000"/>
        </w:rPr>
        <w:t>ed</w:t>
      </w:r>
      <w:r>
        <w:rPr>
          <w:rFonts w:eastAsia="Times New Roman"/>
          <w:snapToGrid w:val="0"/>
          <w:color w:val="000000"/>
        </w:rPr>
        <w:t xml:space="preserve"> she asks for expertise in flood zone areas.  </w:t>
      </w:r>
      <w:r>
        <w:rPr>
          <w:rFonts w:eastAsia="Times New Roman"/>
          <w:snapToGrid w:val="0"/>
          <w:color w:val="000000"/>
        </w:rPr>
        <w:t xml:space="preserve">Elsa Cameron thanked the Board for their discussion on the Sands-Ring Homestead.  Virginia Scott hopes that the Village Board reconsiders placing the art at Donahue Park.  </w:t>
      </w:r>
    </w:p>
    <w:p>
      <w:pPr>
        <w:spacing w:after="0" w:line="240" w:lineRule="auto"/>
        <w:rPr>
          <w:rFonts w:ascii="Calibri" w:eastAsia="Calibri" w:hAnsi="Calibri" w:cs="Times New Roman"/>
          <w:b/>
          <w:u w:val="single"/>
        </w:rPr>
      </w:pPr>
    </w:p>
    <w:p>
      <w:pPr>
        <w:spacing w:after="0" w:line="240" w:lineRule="auto"/>
        <w:rPr>
          <w:rFonts w:ascii="Calibri" w:eastAsia="Calibri" w:hAnsi="Calibri" w:cs="Times New Roman"/>
          <w:b/>
          <w:u w:val="single"/>
        </w:rPr>
      </w:pPr>
      <w:r>
        <w:rPr>
          <w:rFonts w:ascii="Calibri" w:eastAsia="Calibri" w:hAnsi="Calibri" w:cs="Times New Roman"/>
          <w:b/>
          <w:u w:val="single"/>
        </w:rPr>
        <w:t>Committee Reports, Additional Reports and Correspondences</w:t>
      </w:r>
    </w:p>
    <w:p>
      <w:pPr>
        <w:pStyle w:val="NoSpacing"/>
      </w:pPr>
      <w:r>
        <w:t>Zoning Board of Appeals</w:t>
      </w:r>
      <w:r>
        <w:tab/>
      </w:r>
      <w:r>
        <w:tab/>
        <w:t>Update</w:t>
      </w:r>
    </w:p>
    <w:p>
      <w:pPr>
        <w:pStyle w:val="NoSpacing"/>
      </w:pPr>
      <w:r>
        <w:t>Planning Board</w:t>
      </w:r>
      <w:r>
        <w:tab/>
      </w:r>
      <w:r>
        <w:tab/>
      </w:r>
      <w:r>
        <w:tab/>
      </w:r>
      <w:r>
        <w:tab/>
        <w:t>Update</w:t>
      </w:r>
    </w:p>
    <w:p>
      <w:pPr>
        <w:pStyle w:val="NoSpacing"/>
      </w:pPr>
      <w:r>
        <w:t>CAMO</w:t>
      </w:r>
      <w:r>
        <w:tab/>
      </w:r>
      <w:r>
        <w:tab/>
      </w:r>
      <w:r>
        <w:tab/>
      </w:r>
      <w:r>
        <w:tab/>
      </w:r>
      <w:r>
        <w:tab/>
        <w:t>Monthly Report</w:t>
      </w:r>
    </w:p>
    <w:p>
      <w:pPr>
        <w:pStyle w:val="NoSpacing"/>
      </w:pPr>
      <w:r>
        <w:t xml:space="preserve">Highway &amp; Sanitation </w:t>
      </w:r>
      <w:r>
        <w:tab/>
      </w:r>
      <w:r>
        <w:tab/>
      </w:r>
      <w:r>
        <w:tab/>
        <w:t>Monthly Report</w:t>
      </w:r>
    </w:p>
    <w:p>
      <w:pPr>
        <w:pStyle w:val="NoSpacing"/>
      </w:pPr>
    </w:p>
    <w:p>
      <w:pPr>
        <w:pStyle w:val="NoSpacing"/>
      </w:pPr>
      <w:r>
        <w:t xml:space="preserve">The draft Comprehensive Plan is now available on the Town’s website. </w:t>
      </w:r>
      <w:r>
        <w:t xml:space="preserve">We would like to schedule </w:t>
      </w:r>
      <w:r>
        <w:t xml:space="preserve">a </w:t>
      </w:r>
      <w:r>
        <w:t xml:space="preserve">public hearing for April.  </w:t>
      </w:r>
      <w:r>
        <w:t xml:space="preserve">Draft will be sent to </w:t>
      </w:r>
      <w:r>
        <w:t xml:space="preserve">the </w:t>
      </w:r>
      <w:r>
        <w:t xml:space="preserve">Orange County Planning Board and other involved agencies.  </w:t>
      </w:r>
      <w:r>
        <w:t xml:space="preserve">The Board hopes </w:t>
      </w:r>
      <w:r>
        <w:t xml:space="preserve">to adopt the Comprehensive Plan and the zoning in May or June.  We should have </w:t>
      </w:r>
      <w:r>
        <w:t xml:space="preserve">the </w:t>
      </w:r>
      <w:r>
        <w:t>report on the short-term rentals from Deckard Technologies later this week.</w:t>
      </w:r>
      <w:r>
        <w:t xml:space="preserve"> </w:t>
      </w:r>
      <w:r>
        <w:tab/>
      </w:r>
      <w:r>
        <w:tab/>
        <w:t xml:space="preserve"> </w:t>
      </w:r>
    </w:p>
    <w:p>
      <w:pPr>
        <w:pStyle w:val="NoSpacing"/>
        <w:rPr>
          <w:bCs/>
        </w:rPr>
      </w:pPr>
    </w:p>
    <w:p>
      <w:pPr>
        <w:pStyle w:val="NoSpacing"/>
      </w:pPr>
      <w:bookmarkStart w:id="12" w:name="_GoBack"/>
      <w:r>
        <w:t>A motion to go into e</w:t>
      </w:r>
      <w:r>
        <w:t xml:space="preserve">xecutive </w:t>
      </w:r>
      <w:r>
        <w:t>s</w:t>
      </w:r>
      <w:r>
        <w:t xml:space="preserve">ession pursuant to </w:t>
      </w:r>
      <w:r>
        <w:t>P</w:t>
      </w:r>
      <w:r>
        <w:t xml:space="preserve">ublic Officers Law Section 105(1)(f) to </w:t>
      </w:r>
      <w:r>
        <w:t>d</w:t>
      </w:r>
      <w:r>
        <w:t xml:space="preserve">iscuss </w:t>
      </w:r>
      <w:bookmarkEnd w:id="12"/>
      <w:r>
        <w:t>m</w:t>
      </w:r>
      <w:r>
        <w:t xml:space="preserve">atters </w:t>
      </w:r>
      <w:r>
        <w:t>l</w:t>
      </w:r>
      <w:r>
        <w:t xml:space="preserve">eading to the </w:t>
      </w:r>
      <w:r>
        <w:t>p</w:t>
      </w:r>
      <w:r>
        <w:t xml:space="preserve">otential </w:t>
      </w:r>
      <w:r>
        <w:t>l</w:t>
      </w:r>
      <w:r>
        <w:t xml:space="preserve">ease </w:t>
      </w:r>
      <w:r>
        <w:t>a</w:t>
      </w:r>
      <w:r>
        <w:t>greement with American Towers Corporation</w:t>
      </w:r>
      <w:r>
        <w:t xml:space="preserve"> was made by Councilwoman Michael-Razi seconded by Councilman Gold.</w:t>
      </w:r>
    </w:p>
    <w:p>
      <w:pPr>
        <w:pStyle w:val="NoSpacing"/>
        <w:rPr>
          <w:rFonts w:cstheme="minorHAnsi"/>
          <w:b/>
        </w:rPr>
      </w:pPr>
      <w:r>
        <w:rPr>
          <w:rFonts w:cstheme="minorHAnsi"/>
          <w:b/>
        </w:rPr>
        <w:t>Roll Call Vote:</w:t>
      </w:r>
    </w:p>
    <w:p>
      <w:pPr>
        <w:pStyle w:val="NoSpacing"/>
        <w:rPr>
          <w:rFonts w:cstheme="minorHAnsi"/>
        </w:rPr>
      </w:pPr>
      <w:r>
        <w:rPr>
          <w:rFonts w:cstheme="minorHAnsi"/>
        </w:rPr>
        <w:t>Councilman McCarty</w:t>
      </w:r>
      <w:r>
        <w:rPr>
          <w:rFonts w:cstheme="minorHAnsi"/>
        </w:rPr>
        <w:tab/>
      </w:r>
      <w:r>
        <w:rPr>
          <w:rFonts w:cstheme="minorHAnsi"/>
        </w:rPr>
        <w:tab/>
        <w:t>Aye</w:t>
      </w:r>
    </w:p>
    <w:p>
      <w:pPr>
        <w:pStyle w:val="NoSpacing"/>
        <w:rPr>
          <w:rFonts w:cstheme="minorHAnsi"/>
        </w:rPr>
      </w:pPr>
      <w:r>
        <w:rPr>
          <w:rFonts w:cstheme="minorHAnsi"/>
        </w:rPr>
        <w:t>Councilwoman Heed</w:t>
      </w:r>
      <w:r>
        <w:rPr>
          <w:rFonts w:cstheme="minorHAnsi"/>
        </w:rPr>
        <w:tab/>
      </w:r>
      <w:r>
        <w:rPr>
          <w:rFonts w:cstheme="minorHAnsi"/>
        </w:rPr>
        <w:tab/>
        <w:t>Aye</w:t>
      </w:r>
    </w:p>
    <w:p>
      <w:pPr>
        <w:pStyle w:val="NoSpacing"/>
        <w:rPr>
          <w:rFonts w:cstheme="minorHAnsi"/>
        </w:rPr>
      </w:pPr>
      <w:r>
        <w:rPr>
          <w:rFonts w:cstheme="minorHAnsi"/>
        </w:rPr>
        <w:t>Councilwoman Michael-Razi</w:t>
      </w:r>
      <w:r>
        <w:rPr>
          <w:rFonts w:cstheme="minorHAnsi"/>
        </w:rPr>
        <w:tab/>
        <w:t>Aye</w:t>
      </w:r>
    </w:p>
    <w:p>
      <w:pPr>
        <w:pStyle w:val="NoSpacing"/>
        <w:rPr>
          <w:rFonts w:cstheme="minorHAnsi"/>
        </w:rPr>
      </w:pPr>
      <w:r>
        <w:rPr>
          <w:rFonts w:cstheme="minorHAnsi"/>
        </w:rPr>
        <w:t>Council</w:t>
      </w:r>
      <w:r>
        <w:rPr>
          <w:rFonts w:cstheme="minorHAnsi"/>
        </w:rPr>
        <w:t>man</w:t>
      </w:r>
      <w:r>
        <w:rPr>
          <w:rFonts w:cstheme="minorHAnsi"/>
        </w:rPr>
        <w:t xml:space="preserve"> Gold</w:t>
      </w:r>
      <w:r>
        <w:rPr>
          <w:rFonts w:cstheme="minorHAnsi"/>
        </w:rPr>
        <w:tab/>
      </w:r>
      <w:r>
        <w:rPr>
          <w:rFonts w:cstheme="minorHAnsi"/>
        </w:rPr>
        <w:tab/>
        <w:t>Aye</w:t>
      </w:r>
    </w:p>
    <w:p>
      <w:pPr>
        <w:pStyle w:val="NoSpacing"/>
        <w:rPr>
          <w:rFonts w:cstheme="minorHAnsi"/>
        </w:rPr>
      </w:pPr>
      <w:r>
        <w:rPr>
          <w:rFonts w:cstheme="minorHAnsi"/>
        </w:rPr>
        <w:t>Supervisor Wojehowski</w:t>
      </w:r>
      <w:r>
        <w:rPr>
          <w:rFonts w:cstheme="minorHAnsi"/>
        </w:rPr>
        <w:tab/>
      </w:r>
      <w:r>
        <w:rPr>
          <w:rFonts w:cstheme="minorHAnsi"/>
        </w:rPr>
        <w:tab/>
      </w:r>
      <w:r>
        <w:rPr>
          <w:rFonts w:cstheme="minorHAnsi"/>
        </w:rPr>
        <w:t>Aye</w:t>
      </w:r>
    </w:p>
    <w:p>
      <w:pPr>
        <w:pStyle w:val="NoSpacing"/>
        <w:rPr>
          <w:rFonts w:cstheme="minorHAnsi"/>
          <w:b/>
        </w:rPr>
      </w:pPr>
      <w:r>
        <w:rPr>
          <w:rFonts w:cstheme="minorHAnsi"/>
          <w:b/>
        </w:rPr>
        <w:t>Motion carried.</w:t>
      </w:r>
    </w:p>
    <w:p>
      <w:pPr>
        <w:pStyle w:val="NoSpacing"/>
      </w:pPr>
    </w:p>
    <w:p>
      <w:pPr>
        <w:pStyle w:val="NoSpacing"/>
      </w:pPr>
      <w:r>
        <w:t>Jennifer McCormick</w:t>
      </w:r>
    </w:p>
    <w:p>
      <w:pPr>
        <w:pStyle w:val="NoSpacing"/>
      </w:pPr>
      <w:r>
        <w:t xml:space="preserve">Town Clerk </w:t>
      </w:r>
    </w:p>
    <w:p>
      <w:pPr>
        <w:pStyle w:val="NoSpacing"/>
      </w:pPr>
    </w:p>
    <w:p/>
    <w:p>
      <w:pPr>
        <w:pStyle w:val="NoSpacing"/>
      </w:pPr>
    </w:p>
    <w:sectPr>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67630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tab/>
    </w:r>
    <w:r>
      <w:tab/>
      <w:t>RTBM 2-24-2026</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3567"/>
    <w:multiLevelType w:val="hybridMultilevel"/>
    <w:tmpl w:val="C688F4CA"/>
    <w:lvl w:ilvl="0" w:tplc="A9DC035C">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771"/>
    <w:pPr>
      <w:spacing w:after="0" w:line="240" w:lineRule="auto"/>
    </w:pPr>
  </w:style>
  <w:style w:type="paragraph" w:styleId="Header">
    <w:name w:val="header"/>
    <w:basedOn w:val="Normal"/>
    <w:link w:val="HeaderChar"/>
    <w:uiPriority w:val="99"/>
    <w:unhideWhenUsed/>
    <w:rsid w:val="005A3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71"/>
  </w:style>
  <w:style w:type="paragraph" w:styleId="Footer">
    <w:name w:val="footer"/>
    <w:basedOn w:val="Normal"/>
    <w:link w:val="FooterChar"/>
    <w:uiPriority w:val="99"/>
    <w:unhideWhenUsed/>
    <w:rsid w:val="005A3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71"/>
  </w:style>
  <w:style w:type="paragraph" w:styleId="ListParagraph">
    <w:name w:val="List Paragraph"/>
    <w:basedOn w:val="Normal"/>
    <w:uiPriority w:val="34"/>
    <w:qFormat/>
    <w:rsid w:val="00542E8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Application/>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
  <cp:keywords/>
  <dc:description/>
  <cp:lastModifiedBy/>
  <cp:revision>1</cp:revision>
</cp:coreProperties>
</file>